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AF493" w14:textId="77777777" w:rsidR="008A34AE" w:rsidRDefault="008A34AE">
      <w:pPr>
        <w:contextualSpacing w:val="0"/>
        <w:jc w:val="center"/>
        <w:rPr>
          <w:b/>
        </w:rPr>
      </w:pPr>
    </w:p>
    <w:p w14:paraId="1E559534" w14:textId="77777777" w:rsidR="008A34AE" w:rsidRDefault="008A34AE">
      <w:pPr>
        <w:contextualSpacing w:val="0"/>
        <w:jc w:val="center"/>
        <w:rPr>
          <w:b/>
        </w:rPr>
      </w:pPr>
    </w:p>
    <w:p w14:paraId="5449B1A6" w14:textId="77777777" w:rsidR="008A34AE" w:rsidRDefault="008A34AE">
      <w:pPr>
        <w:contextualSpacing w:val="0"/>
        <w:jc w:val="center"/>
        <w:rPr>
          <w:b/>
        </w:rPr>
      </w:pPr>
    </w:p>
    <w:p w14:paraId="2A310B44" w14:textId="77777777" w:rsidR="008A34AE" w:rsidRDefault="008A34AE">
      <w:pPr>
        <w:contextualSpacing w:val="0"/>
        <w:jc w:val="center"/>
        <w:rPr>
          <w:b/>
        </w:rPr>
      </w:pPr>
    </w:p>
    <w:p w14:paraId="368A0100" w14:textId="77777777" w:rsidR="008A34AE" w:rsidRDefault="008A34AE">
      <w:pPr>
        <w:contextualSpacing w:val="0"/>
        <w:jc w:val="center"/>
        <w:rPr>
          <w:b/>
        </w:rPr>
      </w:pPr>
    </w:p>
    <w:p w14:paraId="675539E9" w14:textId="77777777" w:rsidR="008A34AE" w:rsidRDefault="008A34AE">
      <w:pPr>
        <w:contextualSpacing w:val="0"/>
        <w:jc w:val="center"/>
        <w:rPr>
          <w:b/>
        </w:rPr>
      </w:pPr>
    </w:p>
    <w:p w14:paraId="4B9B8279" w14:textId="77777777" w:rsidR="008A34AE" w:rsidRDefault="008A34AE">
      <w:pPr>
        <w:contextualSpacing w:val="0"/>
        <w:jc w:val="center"/>
        <w:rPr>
          <w:b/>
        </w:rPr>
      </w:pPr>
    </w:p>
    <w:p w14:paraId="27E94C34" w14:textId="77777777" w:rsidR="008A34AE" w:rsidRDefault="008A34AE">
      <w:pPr>
        <w:contextualSpacing w:val="0"/>
        <w:jc w:val="center"/>
        <w:rPr>
          <w:b/>
        </w:rPr>
      </w:pPr>
    </w:p>
    <w:p w14:paraId="3C1D1E1D" w14:textId="77777777" w:rsidR="008A34AE" w:rsidRDefault="008A34AE">
      <w:pPr>
        <w:contextualSpacing w:val="0"/>
        <w:jc w:val="center"/>
        <w:rPr>
          <w:b/>
        </w:rPr>
      </w:pPr>
    </w:p>
    <w:p w14:paraId="4419135B" w14:textId="77777777" w:rsidR="008A34AE" w:rsidRDefault="008A34AE">
      <w:pPr>
        <w:contextualSpacing w:val="0"/>
        <w:jc w:val="center"/>
        <w:rPr>
          <w:b/>
        </w:rPr>
      </w:pPr>
    </w:p>
    <w:p w14:paraId="11085537" w14:textId="77777777" w:rsidR="008A34AE" w:rsidRDefault="008A34AE">
      <w:pPr>
        <w:contextualSpacing w:val="0"/>
        <w:jc w:val="center"/>
        <w:rPr>
          <w:b/>
        </w:rPr>
      </w:pPr>
    </w:p>
    <w:p w14:paraId="07B9D994" w14:textId="77777777" w:rsidR="008A34AE" w:rsidRDefault="008A34AE">
      <w:pPr>
        <w:contextualSpacing w:val="0"/>
        <w:jc w:val="center"/>
        <w:rPr>
          <w:b/>
        </w:rPr>
      </w:pPr>
    </w:p>
    <w:p w14:paraId="7FDCB7E3" w14:textId="77777777" w:rsidR="008A34AE" w:rsidRDefault="008A34AE">
      <w:pPr>
        <w:contextualSpacing w:val="0"/>
        <w:jc w:val="center"/>
        <w:rPr>
          <w:b/>
          <w:color w:val="31849B"/>
          <w:sz w:val="52"/>
          <w:szCs w:val="52"/>
        </w:rPr>
      </w:pPr>
    </w:p>
    <w:p w14:paraId="51877759" w14:textId="77777777" w:rsidR="008A34AE" w:rsidRPr="00A928F9" w:rsidRDefault="00F35562">
      <w:pPr>
        <w:contextualSpacing w:val="0"/>
        <w:jc w:val="center"/>
        <w:rPr>
          <w:b/>
          <w:color w:val="215868" w:themeColor="accent5" w:themeShade="80"/>
          <w:sz w:val="52"/>
          <w:szCs w:val="52"/>
        </w:rPr>
      </w:pPr>
      <w:r w:rsidRPr="00A928F9">
        <w:rPr>
          <w:b/>
          <w:color w:val="215868" w:themeColor="accent5" w:themeShade="80"/>
          <w:sz w:val="52"/>
          <w:szCs w:val="52"/>
        </w:rPr>
        <w:t xml:space="preserve">Transparencia y rendición de cuentas de los recursos </w:t>
      </w:r>
    </w:p>
    <w:p w14:paraId="54FA8326" w14:textId="77777777" w:rsidR="008A34AE" w:rsidRPr="00A928F9" w:rsidRDefault="00F35562">
      <w:pPr>
        <w:contextualSpacing w:val="0"/>
        <w:jc w:val="center"/>
        <w:rPr>
          <w:b/>
          <w:color w:val="215868" w:themeColor="accent5" w:themeShade="80"/>
          <w:sz w:val="52"/>
          <w:szCs w:val="52"/>
        </w:rPr>
      </w:pPr>
      <w:r w:rsidRPr="00A928F9">
        <w:rPr>
          <w:b/>
          <w:color w:val="215868" w:themeColor="accent5" w:themeShade="80"/>
          <w:sz w:val="52"/>
          <w:szCs w:val="52"/>
        </w:rPr>
        <w:t>públicos y privados a un año de los sismos</w:t>
      </w:r>
    </w:p>
    <w:p w14:paraId="29861F46" w14:textId="77777777" w:rsidR="008A34AE" w:rsidRDefault="008A34AE">
      <w:pPr>
        <w:contextualSpacing w:val="0"/>
        <w:jc w:val="center"/>
        <w:rPr>
          <w:b/>
          <w:color w:val="31849B"/>
          <w:sz w:val="52"/>
          <w:szCs w:val="52"/>
        </w:rPr>
      </w:pPr>
    </w:p>
    <w:p w14:paraId="196A8B70" w14:textId="77777777" w:rsidR="008A34AE" w:rsidRDefault="008A34AE">
      <w:pPr>
        <w:contextualSpacing w:val="0"/>
        <w:jc w:val="center"/>
        <w:rPr>
          <w:b/>
          <w:color w:val="31849B"/>
          <w:sz w:val="52"/>
          <w:szCs w:val="52"/>
        </w:rPr>
      </w:pPr>
    </w:p>
    <w:p w14:paraId="2773F459" w14:textId="77777777" w:rsidR="008A34AE" w:rsidRDefault="008A34AE">
      <w:pPr>
        <w:contextualSpacing w:val="0"/>
        <w:jc w:val="center"/>
        <w:rPr>
          <w:b/>
          <w:color w:val="31849B"/>
          <w:sz w:val="52"/>
          <w:szCs w:val="52"/>
        </w:rPr>
      </w:pPr>
    </w:p>
    <w:p w14:paraId="1C2E1D5F" w14:textId="5324EF89" w:rsidR="00D7541E" w:rsidRPr="00FA0758" w:rsidRDefault="00D7541E" w:rsidP="00D7541E">
      <w:pPr>
        <w:rPr>
          <w:sz w:val="18"/>
          <w:szCs w:val="24"/>
        </w:rPr>
      </w:pPr>
      <w:r w:rsidRPr="00D7541E">
        <w:rPr>
          <w:b/>
          <w:color w:val="215868" w:themeColor="accent5" w:themeShade="80"/>
          <w:sz w:val="18"/>
          <w:szCs w:val="24"/>
        </w:rPr>
        <w:t>Periodo de elaboración:</w:t>
      </w:r>
      <w:r w:rsidRPr="00D7541E">
        <w:rPr>
          <w:color w:val="215868" w:themeColor="accent5" w:themeShade="80"/>
          <w:sz w:val="18"/>
          <w:szCs w:val="24"/>
        </w:rPr>
        <w:t xml:space="preserve"> </w:t>
      </w:r>
      <w:r>
        <w:rPr>
          <w:sz w:val="18"/>
          <w:szCs w:val="24"/>
        </w:rPr>
        <w:t>3 al 10 de septiembre de 2018</w:t>
      </w:r>
      <w:r w:rsidRPr="00FA0758">
        <w:rPr>
          <w:sz w:val="18"/>
          <w:szCs w:val="24"/>
        </w:rPr>
        <w:t xml:space="preserve"> </w:t>
      </w:r>
    </w:p>
    <w:p w14:paraId="2671B7B3" w14:textId="77777777" w:rsidR="008A34AE" w:rsidRDefault="008A34AE">
      <w:pPr>
        <w:contextualSpacing w:val="0"/>
        <w:jc w:val="center"/>
        <w:rPr>
          <w:b/>
          <w:color w:val="31849B"/>
          <w:sz w:val="52"/>
          <w:szCs w:val="52"/>
        </w:rPr>
      </w:pPr>
    </w:p>
    <w:p w14:paraId="73A11ECC" w14:textId="77777777" w:rsidR="008A34AE" w:rsidRDefault="008A34AE">
      <w:pPr>
        <w:contextualSpacing w:val="0"/>
        <w:jc w:val="center"/>
        <w:rPr>
          <w:b/>
          <w:color w:val="31849B"/>
          <w:sz w:val="52"/>
          <w:szCs w:val="52"/>
        </w:rPr>
      </w:pPr>
    </w:p>
    <w:p w14:paraId="072770F9" w14:textId="77777777" w:rsidR="008A34AE" w:rsidRDefault="008A34AE">
      <w:pPr>
        <w:contextualSpacing w:val="0"/>
        <w:jc w:val="center"/>
        <w:rPr>
          <w:b/>
          <w:color w:val="31849B"/>
          <w:sz w:val="52"/>
          <w:szCs w:val="52"/>
        </w:rPr>
      </w:pPr>
    </w:p>
    <w:p w14:paraId="0F25B37D" w14:textId="77777777" w:rsidR="008A34AE" w:rsidRDefault="008A34AE">
      <w:pPr>
        <w:contextualSpacing w:val="0"/>
        <w:jc w:val="center"/>
        <w:rPr>
          <w:b/>
          <w:color w:val="31849B"/>
          <w:sz w:val="52"/>
          <w:szCs w:val="52"/>
        </w:rPr>
      </w:pPr>
    </w:p>
    <w:p w14:paraId="34636A46" w14:textId="77777777" w:rsidR="008A34AE" w:rsidRDefault="008A34AE">
      <w:pPr>
        <w:contextualSpacing w:val="0"/>
        <w:jc w:val="center"/>
        <w:rPr>
          <w:b/>
          <w:color w:val="31849B"/>
          <w:sz w:val="52"/>
          <w:szCs w:val="52"/>
        </w:rPr>
      </w:pPr>
    </w:p>
    <w:p w14:paraId="64F0CB2E" w14:textId="77777777" w:rsidR="008A34AE" w:rsidRDefault="008A34AE">
      <w:pPr>
        <w:contextualSpacing w:val="0"/>
        <w:jc w:val="center"/>
        <w:rPr>
          <w:b/>
          <w:color w:val="31849B"/>
          <w:sz w:val="52"/>
          <w:szCs w:val="52"/>
        </w:rPr>
      </w:pPr>
    </w:p>
    <w:p w14:paraId="04AF960E" w14:textId="77777777" w:rsidR="008A34AE" w:rsidRDefault="008A34AE">
      <w:pPr>
        <w:contextualSpacing w:val="0"/>
        <w:jc w:val="center"/>
        <w:rPr>
          <w:b/>
          <w:color w:val="31849B"/>
          <w:sz w:val="52"/>
          <w:szCs w:val="52"/>
        </w:rPr>
      </w:pPr>
    </w:p>
    <w:p w14:paraId="5F1C519A" w14:textId="77777777" w:rsidR="008A34AE" w:rsidRDefault="00F35562">
      <w:pPr>
        <w:keepNext/>
        <w:keepLines/>
        <w:pBdr>
          <w:top w:val="nil"/>
          <w:left w:val="nil"/>
          <w:bottom w:val="nil"/>
          <w:right w:val="nil"/>
          <w:between w:val="nil"/>
        </w:pBdr>
        <w:spacing w:before="240" w:line="259" w:lineRule="auto"/>
        <w:contextualSpacing w:val="0"/>
        <w:rPr>
          <w:rFonts w:ascii="Calibri" w:eastAsia="Calibri" w:hAnsi="Calibri" w:cs="Calibri"/>
          <w:b/>
          <w:color w:val="434343"/>
          <w:sz w:val="32"/>
          <w:szCs w:val="32"/>
        </w:rPr>
      </w:pPr>
      <w:r>
        <w:rPr>
          <w:rFonts w:ascii="Calibri" w:eastAsia="Calibri" w:hAnsi="Calibri" w:cs="Calibri"/>
          <w:b/>
          <w:color w:val="434343"/>
          <w:sz w:val="32"/>
          <w:szCs w:val="32"/>
        </w:rPr>
        <w:t>Contenido</w:t>
      </w:r>
    </w:p>
    <w:p w14:paraId="5C737BD4" w14:textId="77777777" w:rsidR="00FE30B8" w:rsidRDefault="00FE30B8">
      <w:pPr>
        <w:keepNext/>
        <w:keepLines/>
        <w:pBdr>
          <w:top w:val="nil"/>
          <w:left w:val="nil"/>
          <w:bottom w:val="nil"/>
          <w:right w:val="nil"/>
          <w:between w:val="nil"/>
        </w:pBdr>
        <w:spacing w:before="240" w:line="259" w:lineRule="auto"/>
        <w:contextualSpacing w:val="0"/>
        <w:rPr>
          <w:rFonts w:ascii="Calibri" w:eastAsia="Calibri" w:hAnsi="Calibri" w:cs="Calibri"/>
          <w:b/>
          <w:color w:val="434343"/>
          <w:sz w:val="32"/>
          <w:szCs w:val="32"/>
        </w:rPr>
      </w:pPr>
    </w:p>
    <w:sdt>
      <w:sdtPr>
        <w:rPr>
          <w:b w:val="0"/>
          <w:noProof w:val="0"/>
          <w:color w:val="auto"/>
        </w:rPr>
        <w:id w:val="481200431"/>
        <w:docPartObj>
          <w:docPartGallery w:val="Table of Contents"/>
          <w:docPartUnique/>
        </w:docPartObj>
      </w:sdtPr>
      <w:sdtEndPr/>
      <w:sdtContent>
        <w:p w14:paraId="556249A8" w14:textId="3958D7C3" w:rsidR="004771C8" w:rsidRDefault="00F35562" w:rsidP="00FE30B8">
          <w:pPr>
            <w:pStyle w:val="TDC1"/>
          </w:pPr>
          <w:r>
            <w:fldChar w:fldCharType="begin"/>
          </w:r>
          <w:r>
            <w:instrText xml:space="preserve"> TOC \h \u \z </w:instrText>
          </w:r>
          <w:r>
            <w:fldChar w:fldCharType="separate"/>
          </w:r>
          <w:hyperlink w:anchor="_Toc524361280" w:history="1">
            <w:r w:rsidR="004771C8" w:rsidRPr="00B066B3">
              <w:rPr>
                <w:rStyle w:val="Hipervnculo"/>
                <w:color w:val="5959FF" w:themeColor="hyperlink" w:themeTint="A6"/>
              </w:rPr>
              <w:t>Introducción</w:t>
            </w:r>
            <w:r w:rsidR="004771C8">
              <w:rPr>
                <w:webHidden/>
              </w:rPr>
              <w:tab/>
            </w:r>
            <w:r w:rsidR="004771C8">
              <w:rPr>
                <w:webHidden/>
              </w:rPr>
              <w:fldChar w:fldCharType="begin"/>
            </w:r>
            <w:r w:rsidR="004771C8">
              <w:rPr>
                <w:webHidden/>
              </w:rPr>
              <w:instrText xml:space="preserve"> PAGEREF _Toc524361280 \h </w:instrText>
            </w:r>
            <w:r w:rsidR="004771C8">
              <w:rPr>
                <w:webHidden/>
              </w:rPr>
            </w:r>
            <w:r w:rsidR="004771C8">
              <w:rPr>
                <w:webHidden/>
              </w:rPr>
              <w:fldChar w:fldCharType="separate"/>
            </w:r>
            <w:r w:rsidR="00D1133E">
              <w:rPr>
                <w:webHidden/>
              </w:rPr>
              <w:t>3</w:t>
            </w:r>
            <w:r w:rsidR="004771C8">
              <w:rPr>
                <w:webHidden/>
              </w:rPr>
              <w:fldChar w:fldCharType="end"/>
            </w:r>
          </w:hyperlink>
        </w:p>
        <w:p w14:paraId="36B0A379" w14:textId="2244424C" w:rsidR="004771C8" w:rsidRDefault="00D1133E" w:rsidP="00FE30B8">
          <w:pPr>
            <w:pStyle w:val="TDC1"/>
          </w:pPr>
          <w:hyperlink w:anchor="_Toc524361281" w:history="1">
            <w:r w:rsidR="004771C8" w:rsidRPr="00B066B3">
              <w:rPr>
                <w:rStyle w:val="Hipervnculo"/>
                <w:color w:val="5959FF" w:themeColor="hyperlink" w:themeTint="A6"/>
              </w:rPr>
              <w:t>Transparencia y rendición de cuentas de los recursos públicos</w:t>
            </w:r>
            <w:r w:rsidR="004771C8">
              <w:rPr>
                <w:webHidden/>
              </w:rPr>
              <w:tab/>
            </w:r>
            <w:r w:rsidR="004771C8">
              <w:rPr>
                <w:webHidden/>
              </w:rPr>
              <w:fldChar w:fldCharType="begin"/>
            </w:r>
            <w:r w:rsidR="004771C8">
              <w:rPr>
                <w:webHidden/>
              </w:rPr>
              <w:instrText xml:space="preserve"> PAGEREF _Toc524361281 \h </w:instrText>
            </w:r>
            <w:r w:rsidR="004771C8">
              <w:rPr>
                <w:webHidden/>
              </w:rPr>
            </w:r>
            <w:r w:rsidR="004771C8">
              <w:rPr>
                <w:webHidden/>
              </w:rPr>
              <w:fldChar w:fldCharType="separate"/>
            </w:r>
            <w:r>
              <w:rPr>
                <w:webHidden/>
              </w:rPr>
              <w:t>3</w:t>
            </w:r>
            <w:r w:rsidR="004771C8">
              <w:rPr>
                <w:webHidden/>
              </w:rPr>
              <w:fldChar w:fldCharType="end"/>
            </w:r>
          </w:hyperlink>
        </w:p>
        <w:p w14:paraId="317C32F2" w14:textId="0662592D" w:rsidR="004771C8" w:rsidRPr="00FE30B8" w:rsidRDefault="00D1133E" w:rsidP="00FE30B8">
          <w:pPr>
            <w:pStyle w:val="TDC2"/>
          </w:pPr>
          <w:hyperlink w:anchor="_Toc524361282" w:history="1">
            <w:r w:rsidR="004771C8" w:rsidRPr="00FE30B8">
              <w:rPr>
                <w:rStyle w:val="Hipervnculo"/>
                <w:color w:val="31849B" w:themeColor="accent5" w:themeShade="BF"/>
              </w:rPr>
              <w:t>Sector Educativo</w:t>
            </w:r>
            <w:r w:rsidR="004771C8" w:rsidRPr="00FE30B8">
              <w:rPr>
                <w:webHidden/>
              </w:rPr>
              <w:tab/>
            </w:r>
            <w:r w:rsidR="004771C8" w:rsidRPr="00FE30B8">
              <w:rPr>
                <w:webHidden/>
              </w:rPr>
              <w:fldChar w:fldCharType="begin"/>
            </w:r>
            <w:r w:rsidR="004771C8" w:rsidRPr="00FE30B8">
              <w:rPr>
                <w:webHidden/>
              </w:rPr>
              <w:instrText xml:space="preserve"> PAGEREF _Toc524361282 \h </w:instrText>
            </w:r>
            <w:r w:rsidR="004771C8" w:rsidRPr="00FE30B8">
              <w:rPr>
                <w:webHidden/>
              </w:rPr>
            </w:r>
            <w:r w:rsidR="004771C8" w:rsidRPr="00FE30B8">
              <w:rPr>
                <w:webHidden/>
              </w:rPr>
              <w:fldChar w:fldCharType="separate"/>
            </w:r>
            <w:r>
              <w:rPr>
                <w:webHidden/>
              </w:rPr>
              <w:t>5</w:t>
            </w:r>
            <w:r w:rsidR="004771C8" w:rsidRPr="00FE30B8">
              <w:rPr>
                <w:webHidden/>
              </w:rPr>
              <w:fldChar w:fldCharType="end"/>
            </w:r>
          </w:hyperlink>
        </w:p>
        <w:p w14:paraId="04BB4D87" w14:textId="5B267691" w:rsidR="004771C8" w:rsidRPr="00FE30B8" w:rsidRDefault="00D1133E" w:rsidP="00FE30B8">
          <w:pPr>
            <w:pStyle w:val="TDC2"/>
          </w:pPr>
          <w:hyperlink w:anchor="_Toc524361283" w:history="1">
            <w:r w:rsidR="004771C8" w:rsidRPr="00FE30B8">
              <w:rPr>
                <w:rStyle w:val="Hipervnculo"/>
                <w:color w:val="31849B" w:themeColor="accent5" w:themeShade="BF"/>
                <w:highlight w:val="white"/>
              </w:rPr>
              <w:t>Sector Vivienda</w:t>
            </w:r>
            <w:r w:rsidR="004771C8" w:rsidRPr="00FE30B8">
              <w:rPr>
                <w:webHidden/>
              </w:rPr>
              <w:tab/>
            </w:r>
            <w:r w:rsidR="004771C8" w:rsidRPr="00FE30B8">
              <w:rPr>
                <w:webHidden/>
              </w:rPr>
              <w:fldChar w:fldCharType="begin"/>
            </w:r>
            <w:r w:rsidR="004771C8" w:rsidRPr="00FE30B8">
              <w:rPr>
                <w:webHidden/>
              </w:rPr>
              <w:instrText xml:space="preserve"> PAGEREF _Toc524361283 \h </w:instrText>
            </w:r>
            <w:r w:rsidR="004771C8" w:rsidRPr="00FE30B8">
              <w:rPr>
                <w:webHidden/>
              </w:rPr>
            </w:r>
            <w:r w:rsidR="004771C8" w:rsidRPr="00FE30B8">
              <w:rPr>
                <w:webHidden/>
              </w:rPr>
              <w:fldChar w:fldCharType="separate"/>
            </w:r>
            <w:r>
              <w:rPr>
                <w:webHidden/>
              </w:rPr>
              <w:t>7</w:t>
            </w:r>
            <w:r w:rsidR="004771C8" w:rsidRPr="00FE30B8">
              <w:rPr>
                <w:webHidden/>
              </w:rPr>
              <w:fldChar w:fldCharType="end"/>
            </w:r>
          </w:hyperlink>
        </w:p>
        <w:p w14:paraId="2099DED4" w14:textId="35C680B3" w:rsidR="004771C8" w:rsidRPr="00FE30B8" w:rsidRDefault="00D1133E" w:rsidP="00FE30B8">
          <w:pPr>
            <w:pStyle w:val="TDC2"/>
          </w:pPr>
          <w:hyperlink w:anchor="_Toc524361284" w:history="1">
            <w:r w:rsidR="004771C8" w:rsidRPr="00FE30B8">
              <w:rPr>
                <w:rStyle w:val="Hipervnculo"/>
                <w:color w:val="31849B" w:themeColor="accent5" w:themeShade="BF"/>
                <w:highlight w:val="white"/>
              </w:rPr>
              <w:t xml:space="preserve">Sector Monumentos </w:t>
            </w:r>
            <w:r w:rsidR="003F5B86">
              <w:rPr>
                <w:rStyle w:val="Hipervnculo"/>
                <w:color w:val="31849B" w:themeColor="accent5" w:themeShade="BF"/>
                <w:highlight w:val="white"/>
              </w:rPr>
              <w:t>A</w:t>
            </w:r>
            <w:r w:rsidR="004771C8" w:rsidRPr="00FE30B8">
              <w:rPr>
                <w:rStyle w:val="Hipervnculo"/>
                <w:color w:val="31849B" w:themeColor="accent5" w:themeShade="BF"/>
                <w:highlight w:val="white"/>
              </w:rPr>
              <w:t xml:space="preserve">rqueológicos, </w:t>
            </w:r>
            <w:r w:rsidR="003F5B86">
              <w:rPr>
                <w:rStyle w:val="Hipervnculo"/>
                <w:color w:val="31849B" w:themeColor="accent5" w:themeShade="BF"/>
                <w:highlight w:val="white"/>
              </w:rPr>
              <w:t>A</w:t>
            </w:r>
            <w:r w:rsidR="004771C8" w:rsidRPr="00FE30B8">
              <w:rPr>
                <w:rStyle w:val="Hipervnculo"/>
                <w:color w:val="31849B" w:themeColor="accent5" w:themeShade="BF"/>
                <w:highlight w:val="white"/>
              </w:rPr>
              <w:t xml:space="preserve">rtísticos e </w:t>
            </w:r>
            <w:r w:rsidR="003F5B86">
              <w:rPr>
                <w:rStyle w:val="Hipervnculo"/>
                <w:color w:val="31849B" w:themeColor="accent5" w:themeShade="BF"/>
                <w:highlight w:val="white"/>
              </w:rPr>
              <w:t>H</w:t>
            </w:r>
            <w:r w:rsidR="004771C8" w:rsidRPr="00FE30B8">
              <w:rPr>
                <w:rStyle w:val="Hipervnculo"/>
                <w:color w:val="31849B" w:themeColor="accent5" w:themeShade="BF"/>
                <w:highlight w:val="white"/>
              </w:rPr>
              <w:t>istóricos</w:t>
            </w:r>
            <w:r w:rsidR="004771C8" w:rsidRPr="00FE30B8">
              <w:rPr>
                <w:webHidden/>
              </w:rPr>
              <w:tab/>
            </w:r>
            <w:r w:rsidR="004771C8" w:rsidRPr="00FE30B8">
              <w:rPr>
                <w:webHidden/>
              </w:rPr>
              <w:fldChar w:fldCharType="begin"/>
            </w:r>
            <w:r w:rsidR="004771C8" w:rsidRPr="00FE30B8">
              <w:rPr>
                <w:webHidden/>
              </w:rPr>
              <w:instrText xml:space="preserve"> PAGEREF _Toc524361284 \h </w:instrText>
            </w:r>
            <w:r w:rsidR="004771C8" w:rsidRPr="00FE30B8">
              <w:rPr>
                <w:webHidden/>
              </w:rPr>
            </w:r>
            <w:r w:rsidR="004771C8" w:rsidRPr="00FE30B8">
              <w:rPr>
                <w:webHidden/>
              </w:rPr>
              <w:fldChar w:fldCharType="separate"/>
            </w:r>
            <w:r>
              <w:rPr>
                <w:webHidden/>
              </w:rPr>
              <w:t>8</w:t>
            </w:r>
            <w:r w:rsidR="004771C8" w:rsidRPr="00FE30B8">
              <w:rPr>
                <w:webHidden/>
              </w:rPr>
              <w:fldChar w:fldCharType="end"/>
            </w:r>
          </w:hyperlink>
        </w:p>
        <w:p w14:paraId="4A0639FD" w14:textId="06AFF682" w:rsidR="004771C8" w:rsidRPr="00FE30B8" w:rsidRDefault="00D1133E" w:rsidP="00FE30B8">
          <w:pPr>
            <w:pStyle w:val="TDC2"/>
          </w:pPr>
          <w:hyperlink w:anchor="_Toc524361285" w:history="1">
            <w:r w:rsidR="004771C8" w:rsidRPr="00FE30B8">
              <w:rPr>
                <w:rStyle w:val="Hipervnculo"/>
                <w:color w:val="31849B" w:themeColor="accent5" w:themeShade="BF"/>
                <w:highlight w:val="white"/>
              </w:rPr>
              <w:t>Calidad de la información</w:t>
            </w:r>
            <w:r w:rsidR="004771C8" w:rsidRPr="00FE30B8">
              <w:rPr>
                <w:webHidden/>
              </w:rPr>
              <w:tab/>
            </w:r>
            <w:r w:rsidR="004771C8" w:rsidRPr="00FE30B8">
              <w:rPr>
                <w:webHidden/>
              </w:rPr>
              <w:fldChar w:fldCharType="begin"/>
            </w:r>
            <w:r w:rsidR="004771C8" w:rsidRPr="00FE30B8">
              <w:rPr>
                <w:webHidden/>
              </w:rPr>
              <w:instrText xml:space="preserve"> PAGEREF _Toc524361285 \h </w:instrText>
            </w:r>
            <w:r w:rsidR="004771C8" w:rsidRPr="00FE30B8">
              <w:rPr>
                <w:webHidden/>
              </w:rPr>
            </w:r>
            <w:r w:rsidR="004771C8" w:rsidRPr="00FE30B8">
              <w:rPr>
                <w:webHidden/>
              </w:rPr>
              <w:fldChar w:fldCharType="separate"/>
            </w:r>
            <w:r>
              <w:rPr>
                <w:webHidden/>
              </w:rPr>
              <w:t>10</w:t>
            </w:r>
            <w:r w:rsidR="004771C8" w:rsidRPr="00FE30B8">
              <w:rPr>
                <w:webHidden/>
              </w:rPr>
              <w:fldChar w:fldCharType="end"/>
            </w:r>
          </w:hyperlink>
        </w:p>
        <w:p w14:paraId="6BEB89FB" w14:textId="168D03CD" w:rsidR="004771C8" w:rsidRDefault="00D1133E" w:rsidP="00FE30B8">
          <w:pPr>
            <w:pStyle w:val="TDC1"/>
          </w:pPr>
          <w:hyperlink w:anchor="_Toc524361286" w:history="1">
            <w:r w:rsidR="004771C8" w:rsidRPr="00B066B3">
              <w:rPr>
                <w:rStyle w:val="Hipervnculo"/>
                <w:color w:val="5959FF" w:themeColor="hyperlink" w:themeTint="A6"/>
              </w:rPr>
              <w:t>Volumen de recursos públicos versus recu</w:t>
            </w:r>
            <w:bookmarkStart w:id="0" w:name="_GoBack"/>
            <w:bookmarkEnd w:id="0"/>
            <w:r w:rsidR="004771C8" w:rsidRPr="00B066B3">
              <w:rPr>
                <w:rStyle w:val="Hipervnculo"/>
                <w:color w:val="5959FF" w:themeColor="hyperlink" w:themeTint="A6"/>
              </w:rPr>
              <w:t>rsos privados para la atención de la emergencia y la reconstrucción después de los sismos</w:t>
            </w:r>
            <w:r w:rsidR="004771C8">
              <w:rPr>
                <w:webHidden/>
              </w:rPr>
              <w:tab/>
            </w:r>
            <w:r w:rsidR="004771C8">
              <w:rPr>
                <w:webHidden/>
              </w:rPr>
              <w:fldChar w:fldCharType="begin"/>
            </w:r>
            <w:r w:rsidR="004771C8">
              <w:rPr>
                <w:webHidden/>
              </w:rPr>
              <w:instrText xml:space="preserve"> PAGEREF _Toc524361286 \h </w:instrText>
            </w:r>
            <w:r w:rsidR="004771C8">
              <w:rPr>
                <w:webHidden/>
              </w:rPr>
            </w:r>
            <w:r w:rsidR="004771C8">
              <w:rPr>
                <w:webHidden/>
              </w:rPr>
              <w:fldChar w:fldCharType="separate"/>
            </w:r>
            <w:r>
              <w:rPr>
                <w:webHidden/>
              </w:rPr>
              <w:t>13</w:t>
            </w:r>
            <w:r w:rsidR="004771C8">
              <w:rPr>
                <w:webHidden/>
              </w:rPr>
              <w:fldChar w:fldCharType="end"/>
            </w:r>
          </w:hyperlink>
        </w:p>
        <w:p w14:paraId="461951AD" w14:textId="22EA917B" w:rsidR="004771C8" w:rsidRDefault="00D1133E" w:rsidP="00FE30B8">
          <w:pPr>
            <w:pStyle w:val="TDC2"/>
          </w:pPr>
          <w:hyperlink w:anchor="_Toc524361287" w:history="1">
            <w:r w:rsidR="004771C8" w:rsidRPr="00FE30B8">
              <w:rPr>
                <w:rStyle w:val="Hipervnculo"/>
                <w:color w:val="31849B" w:themeColor="accent5" w:themeShade="BF"/>
              </w:rPr>
              <w:t>Aportaciones extraordinarias por parte de actores públicos</w:t>
            </w:r>
            <w:r w:rsidR="004771C8" w:rsidRPr="00FE30B8">
              <w:rPr>
                <w:webHidden/>
              </w:rPr>
              <w:tab/>
            </w:r>
            <w:r w:rsidR="004771C8" w:rsidRPr="00FE30B8">
              <w:rPr>
                <w:webHidden/>
              </w:rPr>
              <w:fldChar w:fldCharType="begin"/>
            </w:r>
            <w:r w:rsidR="004771C8" w:rsidRPr="00FE30B8">
              <w:rPr>
                <w:webHidden/>
              </w:rPr>
              <w:instrText xml:space="preserve"> PAGEREF _Toc524361287 \h </w:instrText>
            </w:r>
            <w:r w:rsidR="004771C8" w:rsidRPr="00FE30B8">
              <w:rPr>
                <w:webHidden/>
              </w:rPr>
            </w:r>
            <w:r w:rsidR="004771C8" w:rsidRPr="00FE30B8">
              <w:rPr>
                <w:webHidden/>
              </w:rPr>
              <w:fldChar w:fldCharType="separate"/>
            </w:r>
            <w:r>
              <w:rPr>
                <w:webHidden/>
              </w:rPr>
              <w:t>14</w:t>
            </w:r>
            <w:r w:rsidR="004771C8" w:rsidRPr="00FE30B8">
              <w:rPr>
                <w:webHidden/>
              </w:rPr>
              <w:fldChar w:fldCharType="end"/>
            </w:r>
          </w:hyperlink>
        </w:p>
        <w:p w14:paraId="545F3E7A" w14:textId="4BE78DFA" w:rsidR="004771C8" w:rsidRPr="00FE30B8" w:rsidRDefault="00D1133E" w:rsidP="00FE30B8">
          <w:pPr>
            <w:pStyle w:val="TDC1"/>
          </w:pPr>
          <w:hyperlink w:anchor="_Toc524361288" w:history="1">
            <w:r w:rsidR="004771C8" w:rsidRPr="00FE30B8">
              <w:rPr>
                <w:rStyle w:val="Hipervnculo"/>
                <w:color w:val="595959" w:themeColor="text1" w:themeTint="A6"/>
                <w:highlight w:val="white"/>
              </w:rPr>
              <w:t>Transparencia y rendición de cuentas de los recursos privados</w:t>
            </w:r>
            <w:r w:rsidR="004771C8" w:rsidRPr="00FE30B8">
              <w:rPr>
                <w:webHidden/>
              </w:rPr>
              <w:tab/>
            </w:r>
            <w:r w:rsidR="004771C8" w:rsidRPr="00FE30B8">
              <w:rPr>
                <w:webHidden/>
              </w:rPr>
              <w:fldChar w:fldCharType="begin"/>
            </w:r>
            <w:r w:rsidR="004771C8" w:rsidRPr="00FE30B8">
              <w:rPr>
                <w:webHidden/>
              </w:rPr>
              <w:instrText xml:space="preserve"> PAGEREF _Toc524361288 \h </w:instrText>
            </w:r>
            <w:r w:rsidR="004771C8" w:rsidRPr="00FE30B8">
              <w:rPr>
                <w:webHidden/>
              </w:rPr>
            </w:r>
            <w:r w:rsidR="004771C8" w:rsidRPr="00FE30B8">
              <w:rPr>
                <w:webHidden/>
              </w:rPr>
              <w:fldChar w:fldCharType="separate"/>
            </w:r>
            <w:r>
              <w:rPr>
                <w:webHidden/>
              </w:rPr>
              <w:t>19</w:t>
            </w:r>
            <w:r w:rsidR="004771C8" w:rsidRPr="00FE30B8">
              <w:rPr>
                <w:webHidden/>
              </w:rPr>
              <w:fldChar w:fldCharType="end"/>
            </w:r>
          </w:hyperlink>
        </w:p>
        <w:p w14:paraId="64ECA5FC" w14:textId="51FAEB0D" w:rsidR="004771C8" w:rsidRDefault="00D1133E" w:rsidP="00FE30B8">
          <w:pPr>
            <w:pStyle w:val="TDC2"/>
          </w:pPr>
          <w:hyperlink w:anchor="_Toc524361289" w:history="1">
            <w:r w:rsidR="004771C8" w:rsidRPr="00B066B3">
              <w:rPr>
                <w:rStyle w:val="Hipervnculo"/>
                <w:color w:val="0000BF" w:themeColor="hyperlink" w:themeShade="BF"/>
              </w:rPr>
              <w:t>Donativos de países extranjeros</w:t>
            </w:r>
            <w:r w:rsidR="004771C8">
              <w:rPr>
                <w:webHidden/>
              </w:rPr>
              <w:tab/>
            </w:r>
            <w:r w:rsidR="004771C8">
              <w:rPr>
                <w:webHidden/>
              </w:rPr>
              <w:fldChar w:fldCharType="begin"/>
            </w:r>
            <w:r w:rsidR="004771C8">
              <w:rPr>
                <w:webHidden/>
              </w:rPr>
              <w:instrText xml:space="preserve"> PAGEREF _Toc524361289 \h </w:instrText>
            </w:r>
            <w:r w:rsidR="004771C8">
              <w:rPr>
                <w:webHidden/>
              </w:rPr>
            </w:r>
            <w:r w:rsidR="004771C8">
              <w:rPr>
                <w:webHidden/>
              </w:rPr>
              <w:fldChar w:fldCharType="separate"/>
            </w:r>
            <w:r>
              <w:rPr>
                <w:webHidden/>
              </w:rPr>
              <w:t>19</w:t>
            </w:r>
            <w:r w:rsidR="004771C8">
              <w:rPr>
                <w:webHidden/>
              </w:rPr>
              <w:fldChar w:fldCharType="end"/>
            </w:r>
          </w:hyperlink>
        </w:p>
        <w:p w14:paraId="65A8A251" w14:textId="08678550" w:rsidR="004771C8" w:rsidRDefault="00D1133E" w:rsidP="00FE30B8">
          <w:pPr>
            <w:pStyle w:val="TDC2"/>
          </w:pPr>
          <w:hyperlink w:anchor="_Toc524361290" w:history="1">
            <w:r w:rsidR="004771C8" w:rsidRPr="00B066B3">
              <w:rPr>
                <w:rStyle w:val="Hipervnculo"/>
                <w:color w:val="0000BF" w:themeColor="hyperlink" w:themeShade="BF"/>
              </w:rPr>
              <w:t>Donativos nacionales y extranjeros: Recaudación por parte de donatarias y fideicomisos autorizados por la SHCP</w:t>
            </w:r>
            <w:r w:rsidR="004771C8">
              <w:rPr>
                <w:webHidden/>
              </w:rPr>
              <w:tab/>
            </w:r>
            <w:r w:rsidR="004771C8">
              <w:rPr>
                <w:webHidden/>
              </w:rPr>
              <w:fldChar w:fldCharType="begin"/>
            </w:r>
            <w:r w:rsidR="004771C8">
              <w:rPr>
                <w:webHidden/>
              </w:rPr>
              <w:instrText xml:space="preserve"> PAGEREF _Toc524361290 \h </w:instrText>
            </w:r>
            <w:r w:rsidR="004771C8">
              <w:rPr>
                <w:webHidden/>
              </w:rPr>
            </w:r>
            <w:r w:rsidR="004771C8">
              <w:rPr>
                <w:webHidden/>
              </w:rPr>
              <w:fldChar w:fldCharType="separate"/>
            </w:r>
            <w:r>
              <w:rPr>
                <w:webHidden/>
              </w:rPr>
              <w:t>20</w:t>
            </w:r>
            <w:r w:rsidR="004771C8">
              <w:rPr>
                <w:webHidden/>
              </w:rPr>
              <w:fldChar w:fldCharType="end"/>
            </w:r>
          </w:hyperlink>
        </w:p>
        <w:p w14:paraId="1167DB3D" w14:textId="099F9510" w:rsidR="004771C8" w:rsidRDefault="00D1133E" w:rsidP="00FE30B8">
          <w:pPr>
            <w:pStyle w:val="TDC2"/>
          </w:pPr>
          <w:hyperlink w:anchor="_Toc524361291" w:history="1">
            <w:r w:rsidR="004771C8" w:rsidRPr="00B066B3">
              <w:rPr>
                <w:rStyle w:val="Hipervnculo"/>
                <w:color w:val="0000BF" w:themeColor="hyperlink" w:themeShade="BF"/>
              </w:rPr>
              <w:t>Origen de los donativos</w:t>
            </w:r>
            <w:r w:rsidR="004771C8">
              <w:rPr>
                <w:webHidden/>
              </w:rPr>
              <w:tab/>
            </w:r>
            <w:r w:rsidR="004771C8">
              <w:rPr>
                <w:webHidden/>
              </w:rPr>
              <w:fldChar w:fldCharType="begin"/>
            </w:r>
            <w:r w:rsidR="004771C8">
              <w:rPr>
                <w:webHidden/>
              </w:rPr>
              <w:instrText xml:space="preserve"> PAGEREF _Toc524361291 \h </w:instrText>
            </w:r>
            <w:r w:rsidR="004771C8">
              <w:rPr>
                <w:webHidden/>
              </w:rPr>
            </w:r>
            <w:r w:rsidR="004771C8">
              <w:rPr>
                <w:webHidden/>
              </w:rPr>
              <w:fldChar w:fldCharType="separate"/>
            </w:r>
            <w:r>
              <w:rPr>
                <w:webHidden/>
              </w:rPr>
              <w:t>20</w:t>
            </w:r>
            <w:r w:rsidR="004771C8">
              <w:rPr>
                <w:webHidden/>
              </w:rPr>
              <w:fldChar w:fldCharType="end"/>
            </w:r>
          </w:hyperlink>
        </w:p>
        <w:p w14:paraId="58527685" w14:textId="0A8BC214" w:rsidR="004771C8" w:rsidRDefault="00D1133E" w:rsidP="00FE30B8">
          <w:pPr>
            <w:pStyle w:val="TDC2"/>
          </w:pPr>
          <w:hyperlink w:anchor="_Toc524361292" w:history="1">
            <w:r w:rsidR="004771C8" w:rsidRPr="00B066B3">
              <w:rPr>
                <w:rStyle w:val="Hipervnculo"/>
                <w:color w:val="0000BF" w:themeColor="hyperlink" w:themeShade="BF"/>
              </w:rPr>
              <w:t>Las cinco donatarias con mayor cantidad de donativos</w:t>
            </w:r>
            <w:r w:rsidR="004771C8">
              <w:rPr>
                <w:webHidden/>
              </w:rPr>
              <w:tab/>
            </w:r>
            <w:r w:rsidR="004771C8">
              <w:rPr>
                <w:webHidden/>
              </w:rPr>
              <w:fldChar w:fldCharType="begin"/>
            </w:r>
            <w:r w:rsidR="004771C8">
              <w:rPr>
                <w:webHidden/>
              </w:rPr>
              <w:instrText xml:space="preserve"> PAGEREF _Toc524361292 \h </w:instrText>
            </w:r>
            <w:r w:rsidR="004771C8">
              <w:rPr>
                <w:webHidden/>
              </w:rPr>
            </w:r>
            <w:r w:rsidR="004771C8">
              <w:rPr>
                <w:webHidden/>
              </w:rPr>
              <w:fldChar w:fldCharType="separate"/>
            </w:r>
            <w:r>
              <w:rPr>
                <w:webHidden/>
              </w:rPr>
              <w:t>20</w:t>
            </w:r>
            <w:r w:rsidR="004771C8">
              <w:rPr>
                <w:webHidden/>
              </w:rPr>
              <w:fldChar w:fldCharType="end"/>
            </w:r>
          </w:hyperlink>
        </w:p>
        <w:p w14:paraId="6E99B178" w14:textId="5CFD1A79" w:rsidR="004771C8" w:rsidRDefault="00D1133E" w:rsidP="00FE30B8">
          <w:pPr>
            <w:pStyle w:val="TDC2"/>
          </w:pPr>
          <w:hyperlink w:anchor="_Toc524361293" w:history="1">
            <w:r w:rsidR="004771C8" w:rsidRPr="00B066B3">
              <w:rPr>
                <w:rStyle w:val="Hipervnculo"/>
                <w:color w:val="0000BF" w:themeColor="hyperlink" w:themeShade="BF"/>
              </w:rPr>
              <w:t>Distribución geográfica de recursos ejercidos</w:t>
            </w:r>
            <w:r w:rsidR="004771C8">
              <w:rPr>
                <w:webHidden/>
              </w:rPr>
              <w:tab/>
            </w:r>
            <w:r w:rsidR="004771C8">
              <w:rPr>
                <w:webHidden/>
              </w:rPr>
              <w:fldChar w:fldCharType="begin"/>
            </w:r>
            <w:r w:rsidR="004771C8">
              <w:rPr>
                <w:webHidden/>
              </w:rPr>
              <w:instrText xml:space="preserve"> PAGEREF _Toc524361293 \h </w:instrText>
            </w:r>
            <w:r w:rsidR="004771C8">
              <w:rPr>
                <w:webHidden/>
              </w:rPr>
            </w:r>
            <w:r w:rsidR="004771C8">
              <w:rPr>
                <w:webHidden/>
              </w:rPr>
              <w:fldChar w:fldCharType="separate"/>
            </w:r>
            <w:r>
              <w:rPr>
                <w:webHidden/>
              </w:rPr>
              <w:t>22</w:t>
            </w:r>
            <w:r w:rsidR="004771C8">
              <w:rPr>
                <w:webHidden/>
              </w:rPr>
              <w:fldChar w:fldCharType="end"/>
            </w:r>
          </w:hyperlink>
        </w:p>
        <w:p w14:paraId="193A2AAD" w14:textId="45CFC942" w:rsidR="004771C8" w:rsidRDefault="00D1133E" w:rsidP="00FE30B8">
          <w:pPr>
            <w:pStyle w:val="TDC2"/>
          </w:pPr>
          <w:hyperlink w:anchor="_Toc524361294" w:history="1">
            <w:r w:rsidR="004771C8" w:rsidRPr="00B066B3">
              <w:rPr>
                <w:rStyle w:val="Hipervnculo"/>
                <w:color w:val="0000BF" w:themeColor="hyperlink" w:themeShade="BF"/>
              </w:rPr>
              <w:t>Distribución de los recursos por sector beneficiado y tipo de apoyo</w:t>
            </w:r>
            <w:r w:rsidR="004771C8">
              <w:rPr>
                <w:webHidden/>
              </w:rPr>
              <w:tab/>
            </w:r>
            <w:r w:rsidR="004771C8">
              <w:rPr>
                <w:webHidden/>
              </w:rPr>
              <w:fldChar w:fldCharType="begin"/>
            </w:r>
            <w:r w:rsidR="004771C8">
              <w:rPr>
                <w:webHidden/>
              </w:rPr>
              <w:instrText xml:space="preserve"> PAGEREF _Toc524361294 \h </w:instrText>
            </w:r>
            <w:r w:rsidR="004771C8">
              <w:rPr>
                <w:webHidden/>
              </w:rPr>
            </w:r>
            <w:r w:rsidR="004771C8">
              <w:rPr>
                <w:webHidden/>
              </w:rPr>
              <w:fldChar w:fldCharType="separate"/>
            </w:r>
            <w:r>
              <w:rPr>
                <w:webHidden/>
              </w:rPr>
              <w:t>23</w:t>
            </w:r>
            <w:r w:rsidR="004771C8">
              <w:rPr>
                <w:webHidden/>
              </w:rPr>
              <w:fldChar w:fldCharType="end"/>
            </w:r>
          </w:hyperlink>
        </w:p>
        <w:p w14:paraId="6783FFD8" w14:textId="01DDB9E5" w:rsidR="004771C8" w:rsidRDefault="00D1133E" w:rsidP="00FE30B8">
          <w:pPr>
            <w:pStyle w:val="TDC2"/>
          </w:pPr>
          <w:hyperlink w:anchor="_Toc524361295" w:history="1">
            <w:r w:rsidR="004771C8" w:rsidRPr="00B066B3">
              <w:rPr>
                <w:rStyle w:val="Hipervnculo"/>
                <w:color w:val="0000BF" w:themeColor="hyperlink" w:themeShade="BF"/>
              </w:rPr>
              <w:t>Donativos a organizaciones o donatarias no autorizadas por la SHCP</w:t>
            </w:r>
            <w:r w:rsidR="004771C8">
              <w:rPr>
                <w:webHidden/>
              </w:rPr>
              <w:tab/>
            </w:r>
            <w:r w:rsidR="004771C8">
              <w:rPr>
                <w:webHidden/>
              </w:rPr>
              <w:fldChar w:fldCharType="begin"/>
            </w:r>
            <w:r w:rsidR="004771C8">
              <w:rPr>
                <w:webHidden/>
              </w:rPr>
              <w:instrText xml:space="preserve"> PAGEREF _Toc524361295 \h </w:instrText>
            </w:r>
            <w:r w:rsidR="004771C8">
              <w:rPr>
                <w:webHidden/>
              </w:rPr>
            </w:r>
            <w:r w:rsidR="004771C8">
              <w:rPr>
                <w:webHidden/>
              </w:rPr>
              <w:fldChar w:fldCharType="separate"/>
            </w:r>
            <w:r>
              <w:rPr>
                <w:webHidden/>
              </w:rPr>
              <w:t>25</w:t>
            </w:r>
            <w:r w:rsidR="004771C8">
              <w:rPr>
                <w:webHidden/>
              </w:rPr>
              <w:fldChar w:fldCharType="end"/>
            </w:r>
          </w:hyperlink>
        </w:p>
        <w:p w14:paraId="4DFAE8DF" w14:textId="77ED66B1" w:rsidR="004771C8" w:rsidRDefault="00D1133E" w:rsidP="00FE30B8">
          <w:pPr>
            <w:pStyle w:val="TDC2"/>
          </w:pPr>
          <w:hyperlink w:anchor="_Toc524361296" w:history="1">
            <w:r w:rsidR="004771C8" w:rsidRPr="00B066B3">
              <w:rPr>
                <w:rStyle w:val="Hipervnculo"/>
                <w:color w:val="0000BF" w:themeColor="hyperlink" w:themeShade="BF"/>
              </w:rPr>
              <w:t>Herramientas y estudios para el seguimiento a recursos</w:t>
            </w:r>
            <w:r w:rsidR="004771C8">
              <w:rPr>
                <w:webHidden/>
              </w:rPr>
              <w:tab/>
            </w:r>
            <w:r w:rsidR="004771C8">
              <w:rPr>
                <w:webHidden/>
              </w:rPr>
              <w:fldChar w:fldCharType="begin"/>
            </w:r>
            <w:r w:rsidR="004771C8">
              <w:rPr>
                <w:webHidden/>
              </w:rPr>
              <w:instrText xml:space="preserve"> PAGEREF _Toc524361296 \h </w:instrText>
            </w:r>
            <w:r w:rsidR="004771C8">
              <w:rPr>
                <w:webHidden/>
              </w:rPr>
            </w:r>
            <w:r w:rsidR="004771C8">
              <w:rPr>
                <w:webHidden/>
              </w:rPr>
              <w:fldChar w:fldCharType="separate"/>
            </w:r>
            <w:r>
              <w:rPr>
                <w:webHidden/>
              </w:rPr>
              <w:t>26</w:t>
            </w:r>
            <w:r w:rsidR="004771C8">
              <w:rPr>
                <w:webHidden/>
              </w:rPr>
              <w:fldChar w:fldCharType="end"/>
            </w:r>
          </w:hyperlink>
        </w:p>
        <w:p w14:paraId="2DC47FF7" w14:textId="61EFD805" w:rsidR="004771C8" w:rsidRPr="00FE30B8" w:rsidRDefault="00D1133E" w:rsidP="00FE30B8">
          <w:pPr>
            <w:pStyle w:val="TDC1"/>
          </w:pPr>
          <w:hyperlink w:anchor="_Toc524361297" w:history="1">
            <w:r w:rsidR="004771C8" w:rsidRPr="00FE30B8">
              <w:rPr>
                <w:rStyle w:val="Hipervnculo"/>
                <w:color w:val="595959" w:themeColor="text1" w:themeTint="A6"/>
              </w:rPr>
              <w:t>Conclusiones</w:t>
            </w:r>
            <w:r w:rsidR="004771C8" w:rsidRPr="00FE30B8">
              <w:rPr>
                <w:webHidden/>
              </w:rPr>
              <w:tab/>
            </w:r>
            <w:r w:rsidR="004771C8" w:rsidRPr="00FE30B8">
              <w:rPr>
                <w:webHidden/>
              </w:rPr>
              <w:fldChar w:fldCharType="begin"/>
            </w:r>
            <w:r w:rsidR="004771C8" w:rsidRPr="00FE30B8">
              <w:rPr>
                <w:webHidden/>
              </w:rPr>
              <w:instrText xml:space="preserve"> PAGEREF _Toc524361297 \h </w:instrText>
            </w:r>
            <w:r w:rsidR="004771C8" w:rsidRPr="00FE30B8">
              <w:rPr>
                <w:webHidden/>
              </w:rPr>
            </w:r>
            <w:r w:rsidR="004771C8" w:rsidRPr="00FE30B8">
              <w:rPr>
                <w:webHidden/>
              </w:rPr>
              <w:fldChar w:fldCharType="separate"/>
            </w:r>
            <w:r>
              <w:rPr>
                <w:webHidden/>
              </w:rPr>
              <w:t>26</w:t>
            </w:r>
            <w:r w:rsidR="004771C8" w:rsidRPr="00FE30B8">
              <w:rPr>
                <w:webHidden/>
              </w:rPr>
              <w:fldChar w:fldCharType="end"/>
            </w:r>
          </w:hyperlink>
        </w:p>
        <w:p w14:paraId="666DEF1C" w14:textId="77777777" w:rsidR="008A34AE" w:rsidRDefault="00F35562" w:rsidP="00FE30B8">
          <w:pPr>
            <w:spacing w:line="480" w:lineRule="auto"/>
            <w:contextualSpacing w:val="0"/>
          </w:pPr>
          <w:r>
            <w:fldChar w:fldCharType="end"/>
          </w:r>
        </w:p>
      </w:sdtContent>
    </w:sdt>
    <w:p w14:paraId="227AF0D9" w14:textId="77777777" w:rsidR="008A34AE" w:rsidRDefault="00F35562">
      <w:pPr>
        <w:contextualSpacing w:val="0"/>
        <w:jc w:val="center"/>
        <w:rPr>
          <w:b/>
        </w:rPr>
      </w:pPr>
      <w:r>
        <w:br w:type="page"/>
      </w:r>
    </w:p>
    <w:p w14:paraId="617668FB" w14:textId="77777777" w:rsidR="008A34AE" w:rsidRPr="00F80677" w:rsidRDefault="00F35562" w:rsidP="00F80677">
      <w:pPr>
        <w:pStyle w:val="Ttulo1"/>
      </w:pPr>
      <w:bookmarkStart w:id="1" w:name="_Toc524361280"/>
      <w:r w:rsidRPr="00F80677">
        <w:lastRenderedPageBreak/>
        <w:t>Introducción</w:t>
      </w:r>
      <w:bookmarkEnd w:id="1"/>
    </w:p>
    <w:p w14:paraId="7DEEA2EA" w14:textId="064D0635" w:rsidR="00B71744" w:rsidRPr="00B71744" w:rsidRDefault="00F35562">
      <w:pPr>
        <w:contextualSpacing w:val="0"/>
        <w:jc w:val="both"/>
        <w:rPr>
          <w:color w:val="595959"/>
        </w:rPr>
      </w:pPr>
      <w:r>
        <w:rPr>
          <w:color w:val="595959"/>
        </w:rPr>
        <w:t>En marzo de 2018, algunas organizaciones de la sociedad civil</w:t>
      </w:r>
      <w:r>
        <w:rPr>
          <w:color w:val="595959"/>
          <w:vertAlign w:val="superscript"/>
        </w:rPr>
        <w:footnoteReference w:id="1"/>
      </w:r>
      <w:r w:rsidR="002F5D7D">
        <w:rPr>
          <w:color w:val="595959"/>
        </w:rPr>
        <w:t xml:space="preserve"> elaboraron y publicaron</w:t>
      </w:r>
      <w:r>
        <w:rPr>
          <w:color w:val="595959"/>
        </w:rPr>
        <w:t xml:space="preserve"> el </w:t>
      </w:r>
      <w:r>
        <w:rPr>
          <w:i/>
          <w:color w:val="595959"/>
        </w:rPr>
        <w:t xml:space="preserve">Informe sobre Transparencia y Rendición de Cuentas de los Recursos Públicos y Privados a seis meses de los sismos. </w:t>
      </w:r>
      <w:r w:rsidR="00D02092">
        <w:rPr>
          <w:color w:val="595959"/>
        </w:rPr>
        <w:t>En él</w:t>
      </w:r>
      <w:r>
        <w:rPr>
          <w:color w:val="595959"/>
        </w:rPr>
        <w:t xml:space="preserve"> se analizaron las plataformas oficiales y su utilidad para conocer y dar seguimiento al uso del presupuesto destinado para la reconstrucción. Se </w:t>
      </w:r>
      <w:r w:rsidR="00D02092">
        <w:rPr>
          <w:color w:val="595959"/>
        </w:rPr>
        <w:t>expuso</w:t>
      </w:r>
      <w:r>
        <w:rPr>
          <w:color w:val="595959"/>
        </w:rPr>
        <w:t xml:space="preserve"> la información disponible sobre las deducciones, reintegros y transferencias que realizaron distintos actores públicos, a la vez que se abordó la información respecto a los recursos privados donados. </w:t>
      </w:r>
      <w:r w:rsidRPr="00E20316">
        <w:rPr>
          <w:color w:val="FF0000"/>
        </w:rPr>
        <w:tab/>
      </w:r>
    </w:p>
    <w:p w14:paraId="05397EEC" w14:textId="34B276AB" w:rsidR="008A34AE" w:rsidRPr="00C65FBA" w:rsidRDefault="0090492E" w:rsidP="00B71744">
      <w:pPr>
        <w:ind w:firstLine="720"/>
        <w:contextualSpacing w:val="0"/>
        <w:jc w:val="both"/>
        <w:rPr>
          <w:color w:val="595959" w:themeColor="text1" w:themeTint="A6"/>
        </w:rPr>
      </w:pPr>
      <w:r w:rsidRPr="00C65FBA">
        <w:rPr>
          <w:color w:val="595959" w:themeColor="text1" w:themeTint="A6"/>
        </w:rPr>
        <w:t xml:space="preserve">El presente </w:t>
      </w:r>
      <w:r w:rsidR="00C65FBA" w:rsidRPr="00C65FBA">
        <w:rPr>
          <w:color w:val="595959" w:themeColor="text1" w:themeTint="A6"/>
        </w:rPr>
        <w:t>documento</w:t>
      </w:r>
      <w:r w:rsidRPr="00C65FBA">
        <w:rPr>
          <w:color w:val="595959" w:themeColor="text1" w:themeTint="A6"/>
        </w:rPr>
        <w:t xml:space="preserve"> </w:t>
      </w:r>
      <w:r w:rsidR="00C65FBA" w:rsidRPr="00C65FBA">
        <w:rPr>
          <w:color w:val="595959" w:themeColor="text1" w:themeTint="A6"/>
        </w:rPr>
        <w:t>actualiza</w:t>
      </w:r>
      <w:r w:rsidR="00F35562" w:rsidRPr="00C65FBA">
        <w:rPr>
          <w:color w:val="595959" w:themeColor="text1" w:themeTint="A6"/>
        </w:rPr>
        <w:t xml:space="preserve"> algunos componentes del primer informe</w:t>
      </w:r>
      <w:r w:rsidR="00C65FBA" w:rsidRPr="00C65FBA">
        <w:rPr>
          <w:color w:val="595959" w:themeColor="text1" w:themeTint="A6"/>
        </w:rPr>
        <w:t>; esto,</w:t>
      </w:r>
      <w:r w:rsidR="00E20316" w:rsidRPr="00C65FBA">
        <w:rPr>
          <w:color w:val="595959" w:themeColor="text1" w:themeTint="A6"/>
        </w:rPr>
        <w:t xml:space="preserve"> </w:t>
      </w:r>
      <w:r w:rsidR="00B71744" w:rsidRPr="00C65FBA">
        <w:rPr>
          <w:color w:val="595959" w:themeColor="text1" w:themeTint="A6"/>
        </w:rPr>
        <w:t xml:space="preserve">para </w:t>
      </w:r>
      <w:r w:rsidR="00C65FBA" w:rsidRPr="00C65FBA">
        <w:rPr>
          <w:color w:val="595959" w:themeColor="text1" w:themeTint="A6"/>
        </w:rPr>
        <w:t xml:space="preserve">valorar si es posible </w:t>
      </w:r>
      <w:r w:rsidR="00B71744" w:rsidRPr="00C65FBA">
        <w:rPr>
          <w:color w:val="595959" w:themeColor="text1" w:themeTint="A6"/>
        </w:rPr>
        <w:t xml:space="preserve">conocer el origen y destino de los recursos públicos y privados; si la información es suficiente </w:t>
      </w:r>
      <w:r w:rsidR="00C65FBA" w:rsidRPr="00C65FBA">
        <w:rPr>
          <w:color w:val="595959" w:themeColor="text1" w:themeTint="A6"/>
        </w:rPr>
        <w:t xml:space="preserve">y adecuada </w:t>
      </w:r>
      <w:r w:rsidR="007D7025" w:rsidRPr="00C65FBA">
        <w:rPr>
          <w:color w:val="595959" w:themeColor="text1" w:themeTint="A6"/>
        </w:rPr>
        <w:t xml:space="preserve"> </w:t>
      </w:r>
      <w:r w:rsidR="00B71744" w:rsidRPr="00C65FBA">
        <w:rPr>
          <w:color w:val="595959" w:themeColor="text1" w:themeTint="A6"/>
        </w:rPr>
        <w:t xml:space="preserve">para </w:t>
      </w:r>
      <w:r w:rsidR="00C65FBA" w:rsidRPr="00C65FBA">
        <w:rPr>
          <w:color w:val="595959" w:themeColor="text1" w:themeTint="A6"/>
        </w:rPr>
        <w:t xml:space="preserve">rendir </w:t>
      </w:r>
      <w:r w:rsidR="00B71744" w:rsidRPr="00C65FBA">
        <w:rPr>
          <w:color w:val="595959" w:themeColor="text1" w:themeTint="A6"/>
        </w:rPr>
        <w:t>cuentas y potenciar</w:t>
      </w:r>
      <w:r w:rsidR="00CD07AD" w:rsidRPr="00C65FBA">
        <w:rPr>
          <w:color w:val="595959" w:themeColor="text1" w:themeTint="A6"/>
        </w:rPr>
        <w:t xml:space="preserve"> la </w:t>
      </w:r>
      <w:r w:rsidR="00B71744" w:rsidRPr="00C65FBA">
        <w:rPr>
          <w:color w:val="595959" w:themeColor="text1" w:themeTint="A6"/>
        </w:rPr>
        <w:t xml:space="preserve">coordinación entre </w:t>
      </w:r>
      <w:r w:rsidR="00CD07AD" w:rsidRPr="00C65FBA">
        <w:rPr>
          <w:color w:val="595959" w:themeColor="text1" w:themeTint="A6"/>
        </w:rPr>
        <w:t xml:space="preserve">los </w:t>
      </w:r>
      <w:r w:rsidR="00B71744" w:rsidRPr="00C65FBA">
        <w:rPr>
          <w:color w:val="595959" w:themeColor="text1" w:themeTint="A6"/>
        </w:rPr>
        <w:t>actores</w:t>
      </w:r>
      <w:r w:rsidR="00CD07AD" w:rsidRPr="00C65FBA">
        <w:rPr>
          <w:color w:val="595959" w:themeColor="text1" w:themeTint="A6"/>
        </w:rPr>
        <w:t xml:space="preserve"> involucrados</w:t>
      </w:r>
      <w:r w:rsidR="00C65FBA" w:rsidRPr="00C65FBA">
        <w:rPr>
          <w:color w:val="595959" w:themeColor="text1" w:themeTint="A6"/>
        </w:rPr>
        <w:t>, y,</w:t>
      </w:r>
      <w:r w:rsidR="00B71744" w:rsidRPr="00C65FBA">
        <w:rPr>
          <w:color w:val="595959" w:themeColor="text1" w:themeTint="A6"/>
        </w:rPr>
        <w:t xml:space="preserve"> si las herramientas que existen, principalmente las plataformas oficiales, son útiles para </w:t>
      </w:r>
      <w:r w:rsidR="00C65FBA" w:rsidRPr="00C65FBA">
        <w:rPr>
          <w:color w:val="595959" w:themeColor="text1" w:themeTint="A6"/>
        </w:rPr>
        <w:t>informarse d</w:t>
      </w:r>
      <w:r w:rsidR="00F35562" w:rsidRPr="00C65FBA">
        <w:rPr>
          <w:color w:val="595959" w:themeColor="text1" w:themeTint="A6"/>
        </w:rPr>
        <w:t>el estatus que guarda el proceso de reconstrucción</w:t>
      </w:r>
      <w:r w:rsidR="00E20316" w:rsidRPr="00C65FBA">
        <w:rPr>
          <w:color w:val="595959" w:themeColor="text1" w:themeTint="A6"/>
        </w:rPr>
        <w:t xml:space="preserve"> a un año de los sismos</w:t>
      </w:r>
      <w:r w:rsidR="00F35562" w:rsidRPr="00C65FBA">
        <w:rPr>
          <w:color w:val="595959" w:themeColor="text1" w:themeTint="A6"/>
        </w:rPr>
        <w:t xml:space="preserve">. </w:t>
      </w:r>
    </w:p>
    <w:p w14:paraId="09C6CEF9" w14:textId="77777777" w:rsidR="008A34AE" w:rsidRDefault="00F35562">
      <w:pPr>
        <w:ind w:firstLine="720"/>
        <w:contextualSpacing w:val="0"/>
        <w:jc w:val="both"/>
        <w:rPr>
          <w:color w:val="595959"/>
        </w:rPr>
      </w:pPr>
      <w:r>
        <w:rPr>
          <w:color w:val="595959"/>
        </w:rPr>
        <w:t>Se ha identificado que, a pesar de la gran cantidad de recursos públicos y privados movilizados durante todos estos meses, y de los esfuerzos que algunos actores han realizado, de manera dispersa, para transparentar el origen y el destino del presupuesto, aún no se puede con</w:t>
      </w:r>
      <w:r w:rsidR="00CD4484">
        <w:rPr>
          <w:color w:val="595959"/>
        </w:rPr>
        <w:t>statar</w:t>
      </w:r>
      <w:r>
        <w:rPr>
          <w:color w:val="595959"/>
        </w:rPr>
        <w:t xml:space="preserve"> si las acciones del gobierno han cumplido sus objetivos para la atención de todas las necesidades de la población afectada. Asimismo, la rendición de cuentas ha estado incompleta. </w:t>
      </w:r>
    </w:p>
    <w:p w14:paraId="2AFED284" w14:textId="77777777" w:rsidR="008A34AE" w:rsidRDefault="00F35562">
      <w:pPr>
        <w:contextualSpacing w:val="0"/>
        <w:jc w:val="both"/>
        <w:rPr>
          <w:color w:val="595959"/>
        </w:rPr>
      </w:pPr>
      <w:r>
        <w:rPr>
          <w:color w:val="595959"/>
        </w:rPr>
        <w:tab/>
        <w:t xml:space="preserve">El contenido de este informe se distribuye en tres secciones. Primero se presenta lo relativo a las plataformas oficiales y algunos de los datos que ofrecen sobre recursos públicos. En la segunda sección se analiza, a partir de la información identificada, la relación que guardan los recursos públicos respecto de los privados, en términos de su proporción. Y, finalmente, se presenta una revisión de lo encontrado </w:t>
      </w:r>
      <w:r w:rsidR="00CD4484">
        <w:rPr>
          <w:color w:val="595959"/>
        </w:rPr>
        <w:t>acerca</w:t>
      </w:r>
      <w:r>
        <w:rPr>
          <w:color w:val="595959"/>
        </w:rPr>
        <w:t xml:space="preserve"> de los </w:t>
      </w:r>
      <w:r>
        <w:rPr>
          <w:color w:val="595959"/>
          <w:highlight w:val="white"/>
        </w:rPr>
        <w:t>donativos, las donatarias y los fideicomisos autorizados, así como de sus herramientas de seguimiento.</w:t>
      </w:r>
    </w:p>
    <w:p w14:paraId="0CDEE44E" w14:textId="77777777" w:rsidR="008A34AE" w:rsidRPr="000951BC" w:rsidRDefault="00F35562" w:rsidP="00F80677">
      <w:pPr>
        <w:pStyle w:val="Ttulo1"/>
      </w:pPr>
      <w:bookmarkStart w:id="2" w:name="_Toc524361281"/>
      <w:r w:rsidRPr="000951BC">
        <w:t>Transparencia y rendición de cuentas de los recursos públicos</w:t>
      </w:r>
      <w:bookmarkEnd w:id="2"/>
      <w:r w:rsidRPr="000951BC">
        <w:t xml:space="preserve"> </w:t>
      </w:r>
    </w:p>
    <w:p w14:paraId="5DE92959" w14:textId="7E1EED96" w:rsidR="008A34AE" w:rsidRDefault="00F35562">
      <w:pPr>
        <w:contextualSpacing w:val="0"/>
        <w:jc w:val="both"/>
        <w:rPr>
          <w:color w:val="595959"/>
        </w:rPr>
      </w:pPr>
      <w:r>
        <w:rPr>
          <w:color w:val="595959"/>
        </w:rPr>
        <w:t>Después de 12 meses de que ocurrieron los sismos</w:t>
      </w:r>
      <w:r>
        <w:rPr>
          <w:color w:val="595959"/>
          <w:vertAlign w:val="superscript"/>
        </w:rPr>
        <w:footnoteReference w:id="2"/>
      </w:r>
      <w:r>
        <w:rPr>
          <w:color w:val="595959"/>
        </w:rPr>
        <w:t xml:space="preserve"> en México, las interrogantes alrededor de los recursos públicos que fueron destinados para atender las necesidades de las y los afectados por estos desastres son muchas. Las dudas de la ciudadanía son legítimas y ponen de manifiesto que aún existen muchos desafíos para prevenir y reducir riesgos de manera efectiva. Estos retos se asocian también con la manera en que se atiende la emergencia después de un desastre y sus fases subsecuentes de reconstrucción, tanto de la infraestructura como del tejido social. </w:t>
      </w:r>
    </w:p>
    <w:p w14:paraId="54E43131" w14:textId="77777777" w:rsidR="008A34AE" w:rsidRDefault="00F35562">
      <w:pPr>
        <w:ind w:firstLine="720"/>
        <w:contextualSpacing w:val="0"/>
        <w:jc w:val="both"/>
        <w:rPr>
          <w:color w:val="595959"/>
        </w:rPr>
      </w:pPr>
      <w:r>
        <w:rPr>
          <w:color w:val="595959"/>
        </w:rPr>
        <w:t xml:space="preserve">Con la experiencia reciente, se identificaron fallas en el tratamiento de la información pública para dar certeza a la ciudadanía sobre la existencia y disponibilidad de recursos, y para valorar la suficiencia de estos frente a las múltiples afectaciones y necesidades que dejaron los sismos. </w:t>
      </w:r>
    </w:p>
    <w:p w14:paraId="51401A4A" w14:textId="77777777" w:rsidR="008A34AE" w:rsidRDefault="00F35562">
      <w:pPr>
        <w:ind w:firstLine="720"/>
        <w:contextualSpacing w:val="0"/>
        <w:jc w:val="both"/>
        <w:rPr>
          <w:color w:val="595959"/>
        </w:rPr>
      </w:pPr>
      <w:r>
        <w:rPr>
          <w:color w:val="595959"/>
        </w:rPr>
        <w:t xml:space="preserve">La información y los datos publicados en algunas plataformas oficiales continúa siendo insuficiente para este fin. Por ejemplo, a un año de los sismos, portales como Fuerza </w:t>
      </w:r>
      <w:r>
        <w:rPr>
          <w:color w:val="595959"/>
        </w:rPr>
        <w:lastRenderedPageBreak/>
        <w:t xml:space="preserve">México de Transparencia Presupuestaria (en adelante </w:t>
      </w:r>
      <w:r>
        <w:rPr>
          <w:color w:val="595959"/>
          <w:sz w:val="20"/>
          <w:szCs w:val="20"/>
        </w:rPr>
        <w:t>FM-TP</w:t>
      </w:r>
      <w:r>
        <w:rPr>
          <w:color w:val="595959"/>
        </w:rPr>
        <w:t>) de la Secretaría de Hacienda y Crédito Público (</w:t>
      </w:r>
      <w:r>
        <w:rPr>
          <w:color w:val="595959"/>
          <w:sz w:val="20"/>
          <w:szCs w:val="20"/>
        </w:rPr>
        <w:t>SHCP</w:t>
      </w:r>
      <w:r>
        <w:rPr>
          <w:color w:val="595959"/>
        </w:rPr>
        <w:t>) no ha</w:t>
      </w:r>
      <w:r w:rsidR="00CD4484">
        <w:rPr>
          <w:color w:val="595959"/>
        </w:rPr>
        <w:t>n</w:t>
      </w:r>
      <w:r>
        <w:rPr>
          <w:color w:val="595959"/>
        </w:rPr>
        <w:t xml:space="preserve"> logrado indicar cuál es el estatus y la proporción de gasto de los $38,163,343,988 pesos que </w:t>
      </w:r>
      <w:r w:rsidR="00254D79">
        <w:rPr>
          <w:color w:val="595959"/>
        </w:rPr>
        <w:t>se indicaron</w:t>
      </w:r>
      <w:r>
        <w:rPr>
          <w:color w:val="595959"/>
        </w:rPr>
        <w:t xml:space="preserve"> como costo total de la reconstrucción, sobre todo, a la luz del avance físico y financiero de las obras y recepción de beneficios por parte de las y los afectados. </w:t>
      </w:r>
    </w:p>
    <w:p w14:paraId="233D5B88" w14:textId="03A3C901" w:rsidR="008A34AE" w:rsidRPr="00311C18" w:rsidRDefault="00F35562" w:rsidP="00311C18">
      <w:pPr>
        <w:ind w:firstLine="720"/>
        <w:contextualSpacing w:val="0"/>
        <w:jc w:val="both"/>
        <w:rPr>
          <w:color w:val="595959"/>
        </w:rPr>
      </w:pPr>
      <w:r>
        <w:rPr>
          <w:color w:val="595959"/>
        </w:rPr>
        <w:t xml:space="preserve">Es necesario recordar que el portal </w:t>
      </w:r>
      <w:r>
        <w:rPr>
          <w:color w:val="595959"/>
          <w:sz w:val="20"/>
          <w:szCs w:val="20"/>
        </w:rPr>
        <w:t>FM-TP</w:t>
      </w:r>
      <w:r>
        <w:rPr>
          <w:color w:val="595959"/>
        </w:rPr>
        <w:t xml:space="preserve"> se presentó como el sitio en donde se daría a conocer “</w:t>
      </w:r>
      <w:r w:rsidR="00311C18" w:rsidRPr="00311C18">
        <w:rPr>
          <w:color w:val="595959"/>
          <w:sz w:val="20"/>
        </w:rPr>
        <w:t xml:space="preserve">donde se encuentra información y datos suministrados a la </w:t>
      </w:r>
      <w:r w:rsidR="00311C18">
        <w:rPr>
          <w:color w:val="595959"/>
          <w:sz w:val="20"/>
        </w:rPr>
        <w:t>SHCP</w:t>
      </w:r>
      <w:r w:rsidR="00311C18" w:rsidRPr="00311C18">
        <w:rPr>
          <w:color w:val="595959"/>
          <w:sz w:val="20"/>
        </w:rPr>
        <w:t xml:space="preserve"> por las distintas dependencias y entidades involucradas en las tareas de reconstrucción a partir de los sismos ocurridos el 7 y 19 de septiembre de 2017. Tanto los datos como las fechas de actualización son responsabilidad de las dependencias que los emiten. La plataforma se divide en 4 secciones principales. En ellas se detalla cuáles son los pasos que se siguieron después de los sismos, las organizaciones que aportaron a la causa y el seguimiento del uso de recursos. En términos de visualización, el sitio cuenta con información georreferenciada en los mapas de seguimiento y reconstrucción. Asimismo, se encuentran disponibles los datos abiertos para su consulta y análisis</w:t>
      </w:r>
      <w:r w:rsidR="004C3506">
        <w:rPr>
          <w:color w:val="595959"/>
          <w:highlight w:val="white"/>
        </w:rPr>
        <w:t>”</w:t>
      </w:r>
      <w:r w:rsidRPr="00ED16E8">
        <w:rPr>
          <w:color w:val="595959"/>
          <w:highlight w:val="white"/>
        </w:rPr>
        <w:t>.</w:t>
      </w:r>
      <w:r>
        <w:rPr>
          <w:color w:val="595959"/>
          <w:highlight w:val="white"/>
        </w:rPr>
        <w:t xml:space="preserve"> Hecha esta anotación, la mayor parte de la información plasmada ahí, se enfoca en los recursos del Fondo de Desastres Naturales </w:t>
      </w:r>
      <w:r>
        <w:rPr>
          <w:color w:val="595959"/>
          <w:sz w:val="20"/>
          <w:szCs w:val="20"/>
          <w:highlight w:val="white"/>
        </w:rPr>
        <w:t>(FONDEN)</w:t>
      </w:r>
      <w:r>
        <w:rPr>
          <w:color w:val="595959"/>
          <w:highlight w:val="white"/>
        </w:rPr>
        <w:t>, porque es el</w:t>
      </w:r>
      <w:r>
        <w:rPr>
          <w:color w:val="595959"/>
          <w:sz w:val="20"/>
          <w:szCs w:val="20"/>
          <w:highlight w:val="white"/>
        </w:rPr>
        <w:t xml:space="preserve"> </w:t>
      </w:r>
      <w:r>
        <w:rPr>
          <w:color w:val="595959"/>
          <w:highlight w:val="white"/>
        </w:rPr>
        <w:t xml:space="preserve">instrumento presupuestario para llevar a cabo las acciones correctivas frente a un fenómeno de este tipo, entre otros.  </w:t>
      </w:r>
    </w:p>
    <w:p w14:paraId="03ED314C" w14:textId="77777777" w:rsidR="008A34AE" w:rsidRDefault="00F35562">
      <w:pPr>
        <w:ind w:firstLine="720"/>
        <w:contextualSpacing w:val="0"/>
        <w:jc w:val="both"/>
        <w:rPr>
          <w:color w:val="595959"/>
          <w:highlight w:val="white"/>
        </w:rPr>
      </w:pPr>
      <w:r>
        <w:rPr>
          <w:color w:val="595959"/>
          <w:highlight w:val="white"/>
        </w:rPr>
        <w:t xml:space="preserve">La última actualización del costo total de la reconstrucción, realizada en abril de 2018 y publicada en </w:t>
      </w:r>
      <w:r>
        <w:rPr>
          <w:color w:val="595959"/>
          <w:sz w:val="20"/>
          <w:szCs w:val="20"/>
          <w:highlight w:val="white"/>
        </w:rPr>
        <w:t>FM-TP</w:t>
      </w:r>
      <w:r>
        <w:rPr>
          <w:color w:val="595959"/>
          <w:highlight w:val="white"/>
        </w:rPr>
        <w:t>, reportó, como ya se indicó, un monto de $38,163,343,988 pesos. Es importante señalar que, con la información disponible, esta cifra parece una estimación que no pued</w:t>
      </w:r>
      <w:r w:rsidR="004C3506">
        <w:rPr>
          <w:color w:val="595959"/>
          <w:highlight w:val="white"/>
        </w:rPr>
        <w:t>e</w:t>
      </w:r>
      <w:r>
        <w:rPr>
          <w:color w:val="595959"/>
          <w:highlight w:val="white"/>
        </w:rPr>
        <w:t xml:space="preserve"> ser verificada</w:t>
      </w:r>
      <w:r w:rsidR="004C3506">
        <w:rPr>
          <w:color w:val="595959"/>
          <w:highlight w:val="white"/>
        </w:rPr>
        <w:t>,</w:t>
      </w:r>
      <w:r>
        <w:rPr>
          <w:color w:val="595959"/>
          <w:highlight w:val="white"/>
        </w:rPr>
        <w:t xml:space="preserve"> dado que los datos de los diagnósticos de daños están incompletos y los costos de las obras, en las bases de datos, no siempre se reportan. </w:t>
      </w:r>
    </w:p>
    <w:p w14:paraId="3D88EFA0" w14:textId="77777777" w:rsidR="008A34AE" w:rsidRDefault="004C3506">
      <w:pPr>
        <w:ind w:firstLine="720"/>
        <w:contextualSpacing w:val="0"/>
        <w:jc w:val="both"/>
        <w:rPr>
          <w:color w:val="595959"/>
          <w:highlight w:val="white"/>
        </w:rPr>
      </w:pPr>
      <w:r>
        <w:rPr>
          <w:color w:val="595959"/>
          <w:highlight w:val="white"/>
        </w:rPr>
        <w:t>Por consiguiente,</w:t>
      </w:r>
      <w:r w:rsidR="00F35562">
        <w:rPr>
          <w:color w:val="595959"/>
          <w:highlight w:val="white"/>
        </w:rPr>
        <w:t xml:space="preserve"> se entiende que</w:t>
      </w:r>
      <w:r>
        <w:rPr>
          <w:color w:val="595959"/>
          <w:highlight w:val="white"/>
        </w:rPr>
        <w:t xml:space="preserve"> esta cifra</w:t>
      </w:r>
      <w:r w:rsidR="00F35562">
        <w:rPr>
          <w:color w:val="595959"/>
          <w:highlight w:val="white"/>
        </w:rPr>
        <w:t xml:space="preserve"> es la suma de los recursos que se </w:t>
      </w:r>
      <w:r>
        <w:rPr>
          <w:color w:val="595959"/>
          <w:highlight w:val="white"/>
        </w:rPr>
        <w:t>aprobaron</w:t>
      </w:r>
      <w:r w:rsidR="00F35562">
        <w:rPr>
          <w:color w:val="595959"/>
          <w:highlight w:val="white"/>
        </w:rPr>
        <w:t xml:space="preserve"> conforme avanzaba el proceso, pero se desconocen los criterios. Esta aclaración importa, porque tal y como está publicada la información, se puede inferir lo siguiente: </w:t>
      </w:r>
    </w:p>
    <w:p w14:paraId="495D9DBF" w14:textId="038D9CB1" w:rsidR="008A34AE" w:rsidRDefault="00F35562">
      <w:pPr>
        <w:contextualSpacing w:val="0"/>
        <w:jc w:val="both"/>
        <w:rPr>
          <w:color w:val="595959"/>
          <w:highlight w:val="white"/>
        </w:rPr>
      </w:pPr>
      <w:r>
        <w:rPr>
          <w:color w:val="595959"/>
          <w:highlight w:val="white"/>
        </w:rPr>
        <w:tab/>
        <w:t xml:space="preserve">Los componentes centrales del </w:t>
      </w:r>
      <w:r>
        <w:rPr>
          <w:color w:val="595959"/>
          <w:sz w:val="20"/>
          <w:szCs w:val="20"/>
          <w:highlight w:val="white"/>
        </w:rPr>
        <w:t>FONDEN</w:t>
      </w:r>
      <w:r>
        <w:rPr>
          <w:color w:val="595959"/>
          <w:highlight w:val="white"/>
        </w:rPr>
        <w:t xml:space="preserve"> son los Apoyos Parciales Inmediatos (</w:t>
      </w:r>
      <w:r>
        <w:rPr>
          <w:color w:val="595959"/>
          <w:sz w:val="20"/>
          <w:szCs w:val="20"/>
          <w:highlight w:val="white"/>
        </w:rPr>
        <w:t>APINES</w:t>
      </w:r>
      <w:r w:rsidRPr="00ED16E8">
        <w:rPr>
          <w:color w:val="595959"/>
          <w:szCs w:val="20"/>
          <w:highlight w:val="white"/>
        </w:rPr>
        <w:t>)</w:t>
      </w:r>
      <w:r w:rsidR="00C070DC">
        <w:rPr>
          <w:color w:val="595959"/>
          <w:szCs w:val="20"/>
          <w:highlight w:val="white"/>
        </w:rPr>
        <w:t>,</w:t>
      </w:r>
      <w:r>
        <w:rPr>
          <w:color w:val="595959"/>
          <w:highlight w:val="white"/>
        </w:rPr>
        <w:t xml:space="preserve"> ($6,844,389,946 pesos) y los recursos para Reconstrucción ($22,810,342,755), además, hay un apartado de recursos destinados para los gastos de evaluación de daños ($39,960,093 pesos). En total, estos tres elementos suman $29,694,692,794 pesos, es decir, casi 78% de los recursos totales. </w:t>
      </w:r>
      <w:r w:rsidR="00C070DC">
        <w:rPr>
          <w:color w:val="595959"/>
          <w:highlight w:val="white"/>
        </w:rPr>
        <w:t>Así pues,</w:t>
      </w:r>
      <w:r>
        <w:rPr>
          <w:color w:val="595959"/>
          <w:highlight w:val="white"/>
        </w:rPr>
        <w:t xml:space="preserve"> 22% restante corresponde a las aportaciones que debieron hacer las entidades federativas ($8,468,651,194 pesos). </w:t>
      </w:r>
    </w:p>
    <w:p w14:paraId="27799350" w14:textId="6AC0D5E4" w:rsidR="008A34AE" w:rsidRDefault="00F35562">
      <w:pPr>
        <w:ind w:firstLine="720"/>
        <w:contextualSpacing w:val="0"/>
        <w:jc w:val="both"/>
        <w:rPr>
          <w:color w:val="595959"/>
          <w:highlight w:val="white"/>
        </w:rPr>
      </w:pPr>
      <w:r>
        <w:rPr>
          <w:color w:val="595959"/>
          <w:highlight w:val="white"/>
        </w:rPr>
        <w:t xml:space="preserve">A partir de lo publicado en el portal FM-TP, los tres sectores con la mayor cantidad de recursos destinados a acciones y obras fueron el </w:t>
      </w:r>
      <w:r w:rsidR="003F5B86">
        <w:rPr>
          <w:color w:val="595959"/>
          <w:highlight w:val="white"/>
        </w:rPr>
        <w:t>E</w:t>
      </w:r>
      <w:r>
        <w:rPr>
          <w:color w:val="595959"/>
          <w:highlight w:val="white"/>
        </w:rPr>
        <w:t xml:space="preserve">ducativo, el de </w:t>
      </w:r>
      <w:r w:rsidR="003F5B86">
        <w:rPr>
          <w:color w:val="595959"/>
          <w:highlight w:val="white"/>
        </w:rPr>
        <w:t>V</w:t>
      </w:r>
      <w:r>
        <w:rPr>
          <w:color w:val="595959"/>
          <w:highlight w:val="white"/>
        </w:rPr>
        <w:t xml:space="preserve">ivienda y el de </w:t>
      </w:r>
      <w:r w:rsidR="003F5B86">
        <w:rPr>
          <w:color w:val="595959"/>
          <w:highlight w:val="white"/>
        </w:rPr>
        <w:t>M</w:t>
      </w:r>
      <w:r>
        <w:rPr>
          <w:color w:val="595959"/>
          <w:highlight w:val="white"/>
        </w:rPr>
        <w:t xml:space="preserve">onumentos </w:t>
      </w:r>
      <w:r w:rsidR="003F5B86">
        <w:rPr>
          <w:color w:val="595959"/>
          <w:highlight w:val="white"/>
        </w:rPr>
        <w:t>A</w:t>
      </w:r>
      <w:r>
        <w:rPr>
          <w:color w:val="595959"/>
          <w:highlight w:val="white"/>
        </w:rPr>
        <w:t xml:space="preserve">rqueológicos, </w:t>
      </w:r>
      <w:r w:rsidR="003F5B86">
        <w:rPr>
          <w:color w:val="595959"/>
          <w:highlight w:val="white"/>
        </w:rPr>
        <w:t>A</w:t>
      </w:r>
      <w:r>
        <w:rPr>
          <w:color w:val="595959"/>
          <w:highlight w:val="white"/>
        </w:rPr>
        <w:t xml:space="preserve">rtísticos e </w:t>
      </w:r>
      <w:r w:rsidR="003F5B86">
        <w:rPr>
          <w:color w:val="595959"/>
          <w:highlight w:val="white"/>
        </w:rPr>
        <w:t>H</w:t>
      </w:r>
      <w:r>
        <w:rPr>
          <w:color w:val="595959"/>
          <w:highlight w:val="white"/>
        </w:rPr>
        <w:t xml:space="preserve">istóricos (ver tabla </w:t>
      </w:r>
      <w:r>
        <w:rPr>
          <w:color w:val="595959"/>
        </w:rPr>
        <w:t>1</w:t>
      </w:r>
      <w:r>
        <w:rPr>
          <w:color w:val="595959"/>
          <w:highlight w:val="white"/>
        </w:rPr>
        <w:t xml:space="preserve">). Estos acumularon $27,059,763,605 pesos, es decir, 71% del total de los recursos para la reconstrucción. Y, si tomamos como cierto el dato sobre los recursos exclusivamente del FONDEN, estos tres sectores habrían requerido 91% del </w:t>
      </w:r>
      <w:r w:rsidR="00C070DC">
        <w:rPr>
          <w:color w:val="595959"/>
          <w:highlight w:val="white"/>
        </w:rPr>
        <w:t>f</w:t>
      </w:r>
      <w:r>
        <w:rPr>
          <w:color w:val="595959"/>
          <w:highlight w:val="white"/>
        </w:rPr>
        <w:t xml:space="preserve">ondo. </w:t>
      </w:r>
    </w:p>
    <w:p w14:paraId="7E151F41" w14:textId="77777777" w:rsidR="008A34AE" w:rsidRDefault="008A34AE">
      <w:pPr>
        <w:ind w:firstLine="720"/>
        <w:contextualSpacing w:val="0"/>
        <w:jc w:val="both"/>
        <w:rPr>
          <w:color w:val="595959"/>
          <w:highlight w:val="white"/>
        </w:rPr>
      </w:pPr>
    </w:p>
    <w:p w14:paraId="0B5CED7D" w14:textId="77777777" w:rsidR="008A34AE" w:rsidRDefault="00F35562">
      <w:pPr>
        <w:contextualSpacing w:val="0"/>
        <w:jc w:val="center"/>
        <w:rPr>
          <w:b/>
          <w:color w:val="595959"/>
          <w:highlight w:val="white"/>
        </w:rPr>
      </w:pPr>
      <w:r>
        <w:rPr>
          <w:b/>
          <w:color w:val="595959"/>
          <w:highlight w:val="white"/>
        </w:rPr>
        <w:t xml:space="preserve">Tabla </w:t>
      </w:r>
      <w:r>
        <w:rPr>
          <w:b/>
          <w:color w:val="595959"/>
        </w:rPr>
        <w:t>1</w:t>
      </w:r>
      <w:r>
        <w:rPr>
          <w:b/>
          <w:color w:val="595959"/>
          <w:highlight w:val="white"/>
        </w:rPr>
        <w:t xml:space="preserve">. Distribución de recursos para la emergencia y la reconstrucción tanto del </w:t>
      </w:r>
      <w:r>
        <w:rPr>
          <w:b/>
          <w:color w:val="595959"/>
          <w:sz w:val="20"/>
          <w:szCs w:val="20"/>
          <w:highlight w:val="white"/>
        </w:rPr>
        <w:t>FONDEN</w:t>
      </w:r>
      <w:r>
        <w:rPr>
          <w:b/>
          <w:color w:val="595959"/>
          <w:highlight w:val="white"/>
        </w:rPr>
        <w:t xml:space="preserve"> como de las </w:t>
      </w:r>
      <w:r w:rsidR="009C58EB">
        <w:rPr>
          <w:b/>
          <w:color w:val="595959"/>
          <w:highlight w:val="white"/>
        </w:rPr>
        <w:t>a</w:t>
      </w:r>
      <w:r>
        <w:rPr>
          <w:b/>
          <w:color w:val="595959"/>
          <w:highlight w:val="white"/>
        </w:rPr>
        <w:t>portaciones estatales</w:t>
      </w:r>
    </w:p>
    <w:tbl>
      <w:tblPr>
        <w:tblStyle w:val="a"/>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80"/>
        <w:gridCol w:w="3720"/>
      </w:tblGrid>
      <w:tr w:rsidR="008A34AE" w14:paraId="42695367" w14:textId="77777777" w:rsidTr="00F35562">
        <w:trPr>
          <w:tblHeader/>
        </w:trPr>
        <w:tc>
          <w:tcPr>
            <w:tcW w:w="5280" w:type="dxa"/>
            <w:shd w:val="clear" w:color="auto" w:fill="205968"/>
            <w:tcMar>
              <w:top w:w="100" w:type="dxa"/>
              <w:left w:w="100" w:type="dxa"/>
              <w:bottom w:w="100" w:type="dxa"/>
              <w:right w:w="100" w:type="dxa"/>
            </w:tcMar>
            <w:vAlign w:val="center"/>
          </w:tcPr>
          <w:p w14:paraId="070F850B" w14:textId="77777777" w:rsidR="008A34AE" w:rsidRDefault="00F35562">
            <w:pPr>
              <w:widowControl w:val="0"/>
              <w:pBdr>
                <w:top w:val="nil"/>
                <w:left w:val="nil"/>
                <w:bottom w:val="nil"/>
                <w:right w:val="nil"/>
                <w:between w:val="nil"/>
              </w:pBdr>
              <w:spacing w:line="240" w:lineRule="auto"/>
              <w:contextualSpacing w:val="0"/>
              <w:jc w:val="center"/>
              <w:rPr>
                <w:b/>
                <w:color w:val="FFFFFF"/>
                <w:sz w:val="20"/>
                <w:szCs w:val="20"/>
              </w:rPr>
            </w:pPr>
            <w:r>
              <w:rPr>
                <w:b/>
                <w:color w:val="FFFFFF"/>
                <w:sz w:val="20"/>
                <w:szCs w:val="20"/>
              </w:rPr>
              <w:t>Sector</w:t>
            </w:r>
          </w:p>
        </w:tc>
        <w:tc>
          <w:tcPr>
            <w:tcW w:w="3720" w:type="dxa"/>
            <w:shd w:val="clear" w:color="auto" w:fill="205968"/>
            <w:tcMar>
              <w:top w:w="100" w:type="dxa"/>
              <w:left w:w="100" w:type="dxa"/>
              <w:bottom w:w="100" w:type="dxa"/>
              <w:right w:w="100" w:type="dxa"/>
            </w:tcMar>
            <w:vAlign w:val="center"/>
          </w:tcPr>
          <w:p w14:paraId="796FA60C" w14:textId="77777777" w:rsidR="008A34AE" w:rsidRDefault="00F35562">
            <w:pPr>
              <w:widowControl w:val="0"/>
              <w:pBdr>
                <w:top w:val="nil"/>
                <w:left w:val="nil"/>
                <w:bottom w:val="nil"/>
                <w:right w:val="nil"/>
                <w:between w:val="nil"/>
              </w:pBdr>
              <w:spacing w:line="240" w:lineRule="auto"/>
              <w:contextualSpacing w:val="0"/>
              <w:jc w:val="center"/>
              <w:rPr>
                <w:b/>
                <w:color w:val="FFFFFF"/>
                <w:sz w:val="20"/>
                <w:szCs w:val="20"/>
              </w:rPr>
            </w:pPr>
            <w:r>
              <w:rPr>
                <w:b/>
                <w:color w:val="FFFFFF"/>
                <w:sz w:val="20"/>
                <w:szCs w:val="20"/>
              </w:rPr>
              <w:t xml:space="preserve">Monto </w:t>
            </w:r>
            <w:r>
              <w:rPr>
                <w:b/>
                <w:color w:val="FFFFFF"/>
                <w:sz w:val="20"/>
                <w:szCs w:val="20"/>
                <w:shd w:val="clear" w:color="auto" w:fill="205968"/>
              </w:rPr>
              <w:t>publicado</w:t>
            </w:r>
            <w:r>
              <w:rPr>
                <w:b/>
                <w:color w:val="FFFFFF"/>
                <w:sz w:val="20"/>
                <w:szCs w:val="20"/>
              </w:rPr>
              <w:t xml:space="preserve"> </w:t>
            </w:r>
            <w:r w:rsidR="009C58EB">
              <w:rPr>
                <w:b/>
                <w:color w:val="FFFFFF"/>
                <w:sz w:val="20"/>
                <w:szCs w:val="20"/>
              </w:rPr>
              <w:t xml:space="preserve">en </w:t>
            </w:r>
            <w:r>
              <w:rPr>
                <w:b/>
                <w:color w:val="FFFFFF"/>
                <w:sz w:val="20"/>
                <w:szCs w:val="20"/>
              </w:rPr>
              <w:t>el FM-TP</w:t>
            </w:r>
          </w:p>
          <w:p w14:paraId="4B421D42" w14:textId="77777777" w:rsidR="008A34AE" w:rsidRDefault="00F35562">
            <w:pPr>
              <w:widowControl w:val="0"/>
              <w:pBdr>
                <w:top w:val="nil"/>
                <w:left w:val="nil"/>
                <w:bottom w:val="nil"/>
                <w:right w:val="nil"/>
                <w:between w:val="nil"/>
              </w:pBdr>
              <w:spacing w:line="240" w:lineRule="auto"/>
              <w:contextualSpacing w:val="0"/>
              <w:jc w:val="center"/>
              <w:rPr>
                <w:b/>
                <w:color w:val="FFFFFF"/>
                <w:sz w:val="20"/>
                <w:szCs w:val="20"/>
              </w:rPr>
            </w:pPr>
            <w:r>
              <w:rPr>
                <w:b/>
                <w:color w:val="FFFFFF"/>
                <w:sz w:val="20"/>
                <w:szCs w:val="20"/>
              </w:rPr>
              <w:t>(pesos)</w:t>
            </w:r>
          </w:p>
        </w:tc>
      </w:tr>
      <w:tr w:rsidR="008A34AE" w14:paraId="35E687BF" w14:textId="77777777">
        <w:tc>
          <w:tcPr>
            <w:tcW w:w="5280" w:type="dxa"/>
            <w:shd w:val="clear" w:color="auto" w:fill="31849B"/>
            <w:tcMar>
              <w:top w:w="100" w:type="dxa"/>
              <w:left w:w="100" w:type="dxa"/>
              <w:bottom w:w="100" w:type="dxa"/>
              <w:right w:w="100" w:type="dxa"/>
            </w:tcMar>
            <w:vAlign w:val="center"/>
          </w:tcPr>
          <w:p w14:paraId="5DB17BDF" w14:textId="77777777" w:rsidR="008A34AE" w:rsidRDefault="00F35562">
            <w:pPr>
              <w:widowControl w:val="0"/>
              <w:pBdr>
                <w:top w:val="nil"/>
                <w:left w:val="nil"/>
                <w:bottom w:val="nil"/>
                <w:right w:val="nil"/>
                <w:between w:val="nil"/>
              </w:pBdr>
              <w:spacing w:line="240" w:lineRule="auto"/>
              <w:contextualSpacing w:val="0"/>
              <w:rPr>
                <w:color w:val="FFFFFF"/>
                <w:sz w:val="20"/>
                <w:szCs w:val="20"/>
              </w:rPr>
            </w:pPr>
            <w:r>
              <w:rPr>
                <w:color w:val="FFFFFF"/>
                <w:sz w:val="20"/>
                <w:szCs w:val="20"/>
              </w:rPr>
              <w:t>Educativo</w:t>
            </w:r>
          </w:p>
        </w:tc>
        <w:tc>
          <w:tcPr>
            <w:tcW w:w="3720" w:type="dxa"/>
            <w:shd w:val="clear" w:color="auto" w:fill="93CDDC"/>
            <w:tcMar>
              <w:top w:w="100" w:type="dxa"/>
              <w:left w:w="100" w:type="dxa"/>
              <w:bottom w:w="100" w:type="dxa"/>
              <w:right w:w="100" w:type="dxa"/>
            </w:tcMar>
            <w:vAlign w:val="center"/>
          </w:tcPr>
          <w:p w14:paraId="7CE9F199"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$10,893,661,626</w:t>
            </w:r>
          </w:p>
        </w:tc>
      </w:tr>
      <w:tr w:rsidR="008A34AE" w14:paraId="4DD7DC9B" w14:textId="77777777">
        <w:tc>
          <w:tcPr>
            <w:tcW w:w="5280" w:type="dxa"/>
            <w:shd w:val="clear" w:color="auto" w:fill="31849B"/>
            <w:tcMar>
              <w:top w:w="100" w:type="dxa"/>
              <w:left w:w="100" w:type="dxa"/>
              <w:bottom w:w="100" w:type="dxa"/>
              <w:right w:w="100" w:type="dxa"/>
            </w:tcMar>
            <w:vAlign w:val="center"/>
          </w:tcPr>
          <w:p w14:paraId="67F28C51" w14:textId="77777777" w:rsidR="008A34AE" w:rsidRDefault="00F35562">
            <w:pPr>
              <w:widowControl w:val="0"/>
              <w:pBdr>
                <w:top w:val="nil"/>
                <w:left w:val="nil"/>
                <w:bottom w:val="nil"/>
                <w:right w:val="nil"/>
                <w:between w:val="nil"/>
              </w:pBdr>
              <w:spacing w:line="240" w:lineRule="auto"/>
              <w:contextualSpacing w:val="0"/>
              <w:rPr>
                <w:color w:val="FFFFFF"/>
                <w:sz w:val="20"/>
                <w:szCs w:val="20"/>
              </w:rPr>
            </w:pPr>
            <w:r>
              <w:rPr>
                <w:color w:val="FFFFFF"/>
                <w:sz w:val="20"/>
                <w:szCs w:val="20"/>
              </w:rPr>
              <w:t>Vivienda</w:t>
            </w:r>
          </w:p>
        </w:tc>
        <w:tc>
          <w:tcPr>
            <w:tcW w:w="3720" w:type="dxa"/>
            <w:shd w:val="clear" w:color="auto" w:fill="93CDDC"/>
            <w:tcMar>
              <w:top w:w="100" w:type="dxa"/>
              <w:left w:w="100" w:type="dxa"/>
              <w:bottom w:w="100" w:type="dxa"/>
              <w:right w:w="100" w:type="dxa"/>
            </w:tcMar>
            <w:vAlign w:val="center"/>
          </w:tcPr>
          <w:p w14:paraId="5EFDE8C6"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$10,049,939,028</w:t>
            </w:r>
          </w:p>
        </w:tc>
      </w:tr>
      <w:tr w:rsidR="008A34AE" w14:paraId="568B30AB" w14:textId="77777777">
        <w:tc>
          <w:tcPr>
            <w:tcW w:w="5280" w:type="dxa"/>
            <w:shd w:val="clear" w:color="auto" w:fill="31849B"/>
            <w:tcMar>
              <w:top w:w="100" w:type="dxa"/>
              <w:left w:w="100" w:type="dxa"/>
              <w:bottom w:w="100" w:type="dxa"/>
              <w:right w:w="100" w:type="dxa"/>
            </w:tcMar>
            <w:vAlign w:val="center"/>
          </w:tcPr>
          <w:p w14:paraId="6D36F6A1" w14:textId="1B47C581" w:rsidR="008A34AE" w:rsidRDefault="00F35562">
            <w:pPr>
              <w:widowControl w:val="0"/>
              <w:pBdr>
                <w:top w:val="nil"/>
                <w:left w:val="nil"/>
                <w:bottom w:val="nil"/>
                <w:right w:val="nil"/>
                <w:between w:val="nil"/>
              </w:pBdr>
              <w:spacing w:line="240" w:lineRule="auto"/>
              <w:contextualSpacing w:val="0"/>
              <w:rPr>
                <w:color w:val="FFFFFF"/>
                <w:sz w:val="20"/>
                <w:szCs w:val="20"/>
              </w:rPr>
            </w:pPr>
            <w:r>
              <w:rPr>
                <w:color w:val="FFFFFF"/>
                <w:sz w:val="20"/>
                <w:szCs w:val="20"/>
              </w:rPr>
              <w:t xml:space="preserve">Monumentos </w:t>
            </w:r>
            <w:r w:rsidR="00C070DC">
              <w:rPr>
                <w:color w:val="FFFFFF"/>
                <w:sz w:val="20"/>
                <w:szCs w:val="20"/>
              </w:rPr>
              <w:t>A</w:t>
            </w:r>
            <w:r>
              <w:rPr>
                <w:color w:val="FFFFFF"/>
                <w:sz w:val="20"/>
                <w:szCs w:val="20"/>
              </w:rPr>
              <w:t xml:space="preserve">rqueológicos, </w:t>
            </w:r>
            <w:r w:rsidR="00C070DC">
              <w:rPr>
                <w:color w:val="FFFFFF"/>
                <w:sz w:val="20"/>
                <w:szCs w:val="20"/>
              </w:rPr>
              <w:t>A</w:t>
            </w:r>
            <w:r>
              <w:rPr>
                <w:color w:val="FFFFFF"/>
                <w:sz w:val="20"/>
                <w:szCs w:val="20"/>
              </w:rPr>
              <w:t xml:space="preserve">rtísticos e </w:t>
            </w:r>
            <w:r w:rsidR="00C070DC">
              <w:rPr>
                <w:color w:val="FFFFFF"/>
                <w:sz w:val="20"/>
                <w:szCs w:val="20"/>
              </w:rPr>
              <w:t>H</w:t>
            </w:r>
            <w:r>
              <w:rPr>
                <w:color w:val="FFFFFF"/>
                <w:sz w:val="20"/>
                <w:szCs w:val="20"/>
              </w:rPr>
              <w:t>istóricos</w:t>
            </w:r>
          </w:p>
        </w:tc>
        <w:tc>
          <w:tcPr>
            <w:tcW w:w="3720" w:type="dxa"/>
            <w:shd w:val="clear" w:color="auto" w:fill="93CDDC"/>
            <w:tcMar>
              <w:top w:w="100" w:type="dxa"/>
              <w:left w:w="100" w:type="dxa"/>
              <w:bottom w:w="100" w:type="dxa"/>
              <w:right w:w="100" w:type="dxa"/>
            </w:tcMar>
            <w:vAlign w:val="center"/>
          </w:tcPr>
          <w:p w14:paraId="70A073E6"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$6,116,162,951</w:t>
            </w:r>
          </w:p>
        </w:tc>
      </w:tr>
      <w:tr w:rsidR="008A34AE" w14:paraId="240E8929" w14:textId="77777777">
        <w:tc>
          <w:tcPr>
            <w:tcW w:w="5280" w:type="dxa"/>
            <w:shd w:val="clear" w:color="auto" w:fill="31849B"/>
            <w:tcMar>
              <w:top w:w="100" w:type="dxa"/>
              <w:left w:w="100" w:type="dxa"/>
              <w:bottom w:w="100" w:type="dxa"/>
              <w:right w:w="100" w:type="dxa"/>
            </w:tcMar>
            <w:vAlign w:val="center"/>
          </w:tcPr>
          <w:p w14:paraId="34D7028A" w14:textId="77777777" w:rsidR="008A34AE" w:rsidRDefault="00F35562">
            <w:pPr>
              <w:widowControl w:val="0"/>
              <w:pBdr>
                <w:top w:val="nil"/>
                <w:left w:val="nil"/>
                <w:bottom w:val="nil"/>
                <w:right w:val="nil"/>
                <w:between w:val="nil"/>
              </w:pBdr>
              <w:spacing w:line="240" w:lineRule="auto"/>
              <w:contextualSpacing w:val="0"/>
              <w:rPr>
                <w:color w:val="FFFFFF"/>
                <w:sz w:val="20"/>
                <w:szCs w:val="20"/>
              </w:rPr>
            </w:pPr>
            <w:r>
              <w:rPr>
                <w:color w:val="FFFFFF"/>
                <w:sz w:val="20"/>
                <w:szCs w:val="20"/>
              </w:rPr>
              <w:lastRenderedPageBreak/>
              <w:t>Carretero</w:t>
            </w:r>
          </w:p>
        </w:tc>
        <w:tc>
          <w:tcPr>
            <w:tcW w:w="3720" w:type="dxa"/>
            <w:shd w:val="clear" w:color="auto" w:fill="93CDDC"/>
            <w:tcMar>
              <w:top w:w="100" w:type="dxa"/>
              <w:left w:w="100" w:type="dxa"/>
              <w:bottom w:w="100" w:type="dxa"/>
              <w:right w:w="100" w:type="dxa"/>
            </w:tcMar>
            <w:vAlign w:val="center"/>
          </w:tcPr>
          <w:p w14:paraId="3789299F"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$4,695,107,340</w:t>
            </w:r>
          </w:p>
        </w:tc>
      </w:tr>
      <w:tr w:rsidR="008A34AE" w14:paraId="5A5CEF0F" w14:textId="77777777">
        <w:tc>
          <w:tcPr>
            <w:tcW w:w="5280" w:type="dxa"/>
            <w:shd w:val="clear" w:color="auto" w:fill="31849B"/>
            <w:tcMar>
              <w:top w:w="100" w:type="dxa"/>
              <w:left w:w="100" w:type="dxa"/>
              <w:bottom w:w="100" w:type="dxa"/>
              <w:right w:w="100" w:type="dxa"/>
            </w:tcMar>
            <w:vAlign w:val="center"/>
          </w:tcPr>
          <w:p w14:paraId="5CB0BFE9" w14:textId="77777777" w:rsidR="008A34AE" w:rsidRDefault="00F35562">
            <w:pPr>
              <w:widowControl w:val="0"/>
              <w:pBdr>
                <w:top w:val="nil"/>
                <w:left w:val="nil"/>
                <w:bottom w:val="nil"/>
                <w:right w:val="nil"/>
                <w:between w:val="nil"/>
              </w:pBdr>
              <w:spacing w:line="240" w:lineRule="auto"/>
              <w:contextualSpacing w:val="0"/>
              <w:rPr>
                <w:color w:val="FFFFFF"/>
                <w:sz w:val="20"/>
                <w:szCs w:val="20"/>
              </w:rPr>
            </w:pPr>
            <w:r>
              <w:rPr>
                <w:color w:val="FFFFFF"/>
                <w:sz w:val="20"/>
                <w:szCs w:val="20"/>
              </w:rPr>
              <w:t>Hidráulico</w:t>
            </w:r>
          </w:p>
        </w:tc>
        <w:tc>
          <w:tcPr>
            <w:tcW w:w="3720" w:type="dxa"/>
            <w:shd w:val="clear" w:color="auto" w:fill="93CDDC"/>
            <w:tcMar>
              <w:top w:w="100" w:type="dxa"/>
              <w:left w:w="100" w:type="dxa"/>
              <w:bottom w:w="100" w:type="dxa"/>
              <w:right w:w="100" w:type="dxa"/>
            </w:tcMar>
            <w:vAlign w:val="center"/>
          </w:tcPr>
          <w:p w14:paraId="03BF3B91"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$3,015,417,042</w:t>
            </w:r>
          </w:p>
        </w:tc>
      </w:tr>
      <w:tr w:rsidR="008A34AE" w14:paraId="5627E5D2" w14:textId="77777777">
        <w:tc>
          <w:tcPr>
            <w:tcW w:w="5280" w:type="dxa"/>
            <w:shd w:val="clear" w:color="auto" w:fill="31849B"/>
            <w:tcMar>
              <w:top w:w="100" w:type="dxa"/>
              <w:left w:w="100" w:type="dxa"/>
              <w:bottom w:w="100" w:type="dxa"/>
              <w:right w:w="100" w:type="dxa"/>
            </w:tcMar>
            <w:vAlign w:val="center"/>
          </w:tcPr>
          <w:p w14:paraId="3A4BF3EE" w14:textId="77777777" w:rsidR="008A34AE" w:rsidRDefault="00F35562">
            <w:pPr>
              <w:widowControl w:val="0"/>
              <w:pBdr>
                <w:top w:val="nil"/>
                <w:left w:val="nil"/>
                <w:bottom w:val="nil"/>
                <w:right w:val="nil"/>
                <w:between w:val="nil"/>
              </w:pBdr>
              <w:spacing w:line="240" w:lineRule="auto"/>
              <w:contextualSpacing w:val="0"/>
              <w:rPr>
                <w:color w:val="FFFFFF"/>
                <w:sz w:val="20"/>
                <w:szCs w:val="20"/>
              </w:rPr>
            </w:pPr>
            <w:r>
              <w:rPr>
                <w:color w:val="FFFFFF"/>
                <w:sz w:val="20"/>
                <w:szCs w:val="20"/>
              </w:rPr>
              <w:t>Naval</w:t>
            </w:r>
          </w:p>
        </w:tc>
        <w:tc>
          <w:tcPr>
            <w:tcW w:w="3720" w:type="dxa"/>
            <w:shd w:val="clear" w:color="auto" w:fill="93CDDC"/>
            <w:tcMar>
              <w:top w:w="100" w:type="dxa"/>
              <w:left w:w="100" w:type="dxa"/>
              <w:bottom w:w="100" w:type="dxa"/>
              <w:right w:w="100" w:type="dxa"/>
            </w:tcMar>
            <w:vAlign w:val="center"/>
          </w:tcPr>
          <w:p w14:paraId="0ED9D75E"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$652,993,093</w:t>
            </w:r>
          </w:p>
        </w:tc>
      </w:tr>
      <w:tr w:rsidR="008A34AE" w14:paraId="5436B5F8" w14:textId="77777777">
        <w:tc>
          <w:tcPr>
            <w:tcW w:w="5280" w:type="dxa"/>
            <w:shd w:val="clear" w:color="auto" w:fill="31849B"/>
            <w:tcMar>
              <w:top w:w="100" w:type="dxa"/>
              <w:left w:w="100" w:type="dxa"/>
              <w:bottom w:w="100" w:type="dxa"/>
              <w:right w:w="100" w:type="dxa"/>
            </w:tcMar>
            <w:vAlign w:val="center"/>
          </w:tcPr>
          <w:p w14:paraId="53A89DBA" w14:textId="77777777" w:rsidR="008A34AE" w:rsidRDefault="00F35562">
            <w:pPr>
              <w:widowControl w:val="0"/>
              <w:pBdr>
                <w:top w:val="nil"/>
                <w:left w:val="nil"/>
                <w:bottom w:val="nil"/>
                <w:right w:val="nil"/>
                <w:between w:val="nil"/>
              </w:pBdr>
              <w:spacing w:line="240" w:lineRule="auto"/>
              <w:contextualSpacing w:val="0"/>
              <w:rPr>
                <w:color w:val="FFFFFF"/>
                <w:sz w:val="20"/>
                <w:szCs w:val="20"/>
              </w:rPr>
            </w:pPr>
            <w:r>
              <w:rPr>
                <w:color w:val="FFFFFF"/>
                <w:sz w:val="20"/>
                <w:szCs w:val="20"/>
              </w:rPr>
              <w:t xml:space="preserve">Militar </w:t>
            </w:r>
          </w:p>
        </w:tc>
        <w:tc>
          <w:tcPr>
            <w:tcW w:w="3720" w:type="dxa"/>
            <w:shd w:val="clear" w:color="auto" w:fill="93CDDC"/>
            <w:tcMar>
              <w:top w:w="100" w:type="dxa"/>
              <w:left w:w="100" w:type="dxa"/>
              <w:bottom w:w="100" w:type="dxa"/>
              <w:right w:w="100" w:type="dxa"/>
            </w:tcMar>
            <w:vAlign w:val="center"/>
          </w:tcPr>
          <w:p w14:paraId="06B7CCC1"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$630,967,810</w:t>
            </w:r>
          </w:p>
        </w:tc>
      </w:tr>
      <w:tr w:rsidR="008A34AE" w14:paraId="77E65E57" w14:textId="77777777">
        <w:tc>
          <w:tcPr>
            <w:tcW w:w="5280" w:type="dxa"/>
            <w:shd w:val="clear" w:color="auto" w:fill="31849B"/>
            <w:tcMar>
              <w:top w:w="100" w:type="dxa"/>
              <w:left w:w="100" w:type="dxa"/>
              <w:bottom w:w="100" w:type="dxa"/>
              <w:right w:w="100" w:type="dxa"/>
            </w:tcMar>
            <w:vAlign w:val="center"/>
          </w:tcPr>
          <w:p w14:paraId="51EFCB3A" w14:textId="77777777" w:rsidR="008A34AE" w:rsidRDefault="00F35562">
            <w:pPr>
              <w:widowControl w:val="0"/>
              <w:pBdr>
                <w:top w:val="nil"/>
                <w:left w:val="nil"/>
                <w:bottom w:val="nil"/>
                <w:right w:val="nil"/>
                <w:between w:val="nil"/>
              </w:pBdr>
              <w:spacing w:line="240" w:lineRule="auto"/>
              <w:contextualSpacing w:val="0"/>
              <w:rPr>
                <w:color w:val="FFFFFF"/>
                <w:sz w:val="20"/>
                <w:szCs w:val="20"/>
              </w:rPr>
            </w:pPr>
            <w:r>
              <w:rPr>
                <w:color w:val="FFFFFF"/>
                <w:sz w:val="20"/>
                <w:szCs w:val="20"/>
              </w:rPr>
              <w:t xml:space="preserve">Carretero rural </w:t>
            </w:r>
          </w:p>
        </w:tc>
        <w:tc>
          <w:tcPr>
            <w:tcW w:w="3720" w:type="dxa"/>
            <w:shd w:val="clear" w:color="auto" w:fill="93CDDC"/>
            <w:tcMar>
              <w:top w:w="100" w:type="dxa"/>
              <w:left w:w="100" w:type="dxa"/>
              <w:bottom w:w="100" w:type="dxa"/>
              <w:right w:w="100" w:type="dxa"/>
            </w:tcMar>
            <w:vAlign w:val="center"/>
          </w:tcPr>
          <w:p w14:paraId="77544BA1"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$608,213,642</w:t>
            </w:r>
          </w:p>
        </w:tc>
      </w:tr>
      <w:tr w:rsidR="008A34AE" w14:paraId="063E082C" w14:textId="77777777">
        <w:tc>
          <w:tcPr>
            <w:tcW w:w="5280" w:type="dxa"/>
            <w:shd w:val="clear" w:color="auto" w:fill="31849B"/>
            <w:tcMar>
              <w:top w:w="100" w:type="dxa"/>
              <w:left w:w="100" w:type="dxa"/>
              <w:bottom w:w="100" w:type="dxa"/>
              <w:right w:w="100" w:type="dxa"/>
            </w:tcMar>
            <w:vAlign w:val="center"/>
          </w:tcPr>
          <w:p w14:paraId="5BBE1D60" w14:textId="77777777" w:rsidR="008A34AE" w:rsidRDefault="00F35562">
            <w:pPr>
              <w:widowControl w:val="0"/>
              <w:pBdr>
                <w:top w:val="nil"/>
                <w:left w:val="nil"/>
                <w:bottom w:val="nil"/>
                <w:right w:val="nil"/>
                <w:between w:val="nil"/>
              </w:pBdr>
              <w:spacing w:line="240" w:lineRule="auto"/>
              <w:contextualSpacing w:val="0"/>
              <w:rPr>
                <w:color w:val="FFFFFF"/>
                <w:sz w:val="20"/>
                <w:szCs w:val="20"/>
              </w:rPr>
            </w:pPr>
            <w:r>
              <w:rPr>
                <w:color w:val="FFFFFF"/>
                <w:sz w:val="20"/>
                <w:szCs w:val="20"/>
              </w:rPr>
              <w:t xml:space="preserve">Salud </w:t>
            </w:r>
          </w:p>
        </w:tc>
        <w:tc>
          <w:tcPr>
            <w:tcW w:w="3720" w:type="dxa"/>
            <w:shd w:val="clear" w:color="auto" w:fill="93CDDC"/>
            <w:tcMar>
              <w:top w:w="100" w:type="dxa"/>
              <w:left w:w="100" w:type="dxa"/>
              <w:bottom w:w="100" w:type="dxa"/>
              <w:right w:w="100" w:type="dxa"/>
            </w:tcMar>
            <w:vAlign w:val="center"/>
          </w:tcPr>
          <w:p w14:paraId="2779C9C3"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$601,124,531</w:t>
            </w:r>
          </w:p>
        </w:tc>
      </w:tr>
      <w:tr w:rsidR="008A34AE" w14:paraId="7998C806" w14:textId="77777777">
        <w:tc>
          <w:tcPr>
            <w:tcW w:w="5280" w:type="dxa"/>
            <w:shd w:val="clear" w:color="auto" w:fill="31849B"/>
            <w:tcMar>
              <w:top w:w="100" w:type="dxa"/>
              <w:left w:w="100" w:type="dxa"/>
              <w:bottom w:w="100" w:type="dxa"/>
              <w:right w:w="100" w:type="dxa"/>
            </w:tcMar>
            <w:vAlign w:val="center"/>
          </w:tcPr>
          <w:p w14:paraId="14CC3AA8" w14:textId="77777777" w:rsidR="008A34AE" w:rsidRDefault="00F35562">
            <w:pPr>
              <w:widowControl w:val="0"/>
              <w:pBdr>
                <w:top w:val="nil"/>
                <w:left w:val="nil"/>
                <w:bottom w:val="nil"/>
                <w:right w:val="nil"/>
                <w:between w:val="nil"/>
              </w:pBdr>
              <w:spacing w:line="240" w:lineRule="auto"/>
              <w:contextualSpacing w:val="0"/>
              <w:rPr>
                <w:color w:val="FFFFFF"/>
                <w:sz w:val="20"/>
                <w:szCs w:val="20"/>
              </w:rPr>
            </w:pPr>
            <w:r>
              <w:rPr>
                <w:color w:val="FFFFFF"/>
                <w:sz w:val="20"/>
                <w:szCs w:val="20"/>
              </w:rPr>
              <w:t>Cultura</w:t>
            </w:r>
          </w:p>
        </w:tc>
        <w:tc>
          <w:tcPr>
            <w:tcW w:w="3720" w:type="dxa"/>
            <w:shd w:val="clear" w:color="auto" w:fill="93CDDC"/>
            <w:tcMar>
              <w:top w:w="100" w:type="dxa"/>
              <w:left w:w="100" w:type="dxa"/>
              <w:bottom w:w="100" w:type="dxa"/>
              <w:right w:w="100" w:type="dxa"/>
            </w:tcMar>
            <w:vAlign w:val="center"/>
          </w:tcPr>
          <w:p w14:paraId="79F2FB1F"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$490,568,063</w:t>
            </w:r>
          </w:p>
        </w:tc>
      </w:tr>
      <w:tr w:rsidR="008A34AE" w14:paraId="1908A21B" w14:textId="77777777">
        <w:tc>
          <w:tcPr>
            <w:tcW w:w="5280" w:type="dxa"/>
            <w:shd w:val="clear" w:color="auto" w:fill="31849B"/>
            <w:tcMar>
              <w:top w:w="100" w:type="dxa"/>
              <w:left w:w="100" w:type="dxa"/>
              <w:bottom w:w="100" w:type="dxa"/>
              <w:right w:w="100" w:type="dxa"/>
            </w:tcMar>
            <w:vAlign w:val="center"/>
          </w:tcPr>
          <w:p w14:paraId="753E8071" w14:textId="77777777" w:rsidR="008A34AE" w:rsidRDefault="00F35562">
            <w:pPr>
              <w:widowControl w:val="0"/>
              <w:pBdr>
                <w:top w:val="nil"/>
                <w:left w:val="nil"/>
                <w:bottom w:val="nil"/>
                <w:right w:val="nil"/>
                <w:between w:val="nil"/>
              </w:pBdr>
              <w:spacing w:line="240" w:lineRule="auto"/>
              <w:contextualSpacing w:val="0"/>
              <w:rPr>
                <w:color w:val="FFFFFF"/>
                <w:sz w:val="20"/>
                <w:szCs w:val="20"/>
              </w:rPr>
            </w:pPr>
            <w:r>
              <w:rPr>
                <w:color w:val="FFFFFF"/>
                <w:sz w:val="20"/>
                <w:szCs w:val="20"/>
              </w:rPr>
              <w:t>Deportivo</w:t>
            </w:r>
          </w:p>
        </w:tc>
        <w:tc>
          <w:tcPr>
            <w:tcW w:w="3720" w:type="dxa"/>
            <w:shd w:val="clear" w:color="auto" w:fill="93CDDC"/>
            <w:tcMar>
              <w:top w:w="100" w:type="dxa"/>
              <w:left w:w="100" w:type="dxa"/>
              <w:bottom w:w="100" w:type="dxa"/>
              <w:right w:w="100" w:type="dxa"/>
            </w:tcMar>
            <w:vAlign w:val="center"/>
          </w:tcPr>
          <w:p w14:paraId="79D26F66"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$172,897,003</w:t>
            </w:r>
          </w:p>
        </w:tc>
      </w:tr>
      <w:tr w:rsidR="008A34AE" w14:paraId="5F58B298" w14:textId="77777777">
        <w:tc>
          <w:tcPr>
            <w:tcW w:w="5280" w:type="dxa"/>
            <w:shd w:val="clear" w:color="auto" w:fill="31849B"/>
            <w:tcMar>
              <w:top w:w="100" w:type="dxa"/>
              <w:left w:w="100" w:type="dxa"/>
              <w:bottom w:w="100" w:type="dxa"/>
              <w:right w:w="100" w:type="dxa"/>
            </w:tcMar>
            <w:vAlign w:val="center"/>
          </w:tcPr>
          <w:p w14:paraId="7B3F97A2" w14:textId="77777777" w:rsidR="008A34AE" w:rsidRDefault="00F35562">
            <w:pPr>
              <w:widowControl w:val="0"/>
              <w:pBdr>
                <w:top w:val="nil"/>
                <w:left w:val="nil"/>
                <w:bottom w:val="nil"/>
                <w:right w:val="nil"/>
                <w:between w:val="nil"/>
              </w:pBdr>
              <w:spacing w:line="240" w:lineRule="auto"/>
              <w:contextualSpacing w:val="0"/>
              <w:rPr>
                <w:color w:val="FFFFFF"/>
                <w:sz w:val="20"/>
                <w:szCs w:val="20"/>
              </w:rPr>
            </w:pPr>
            <w:r>
              <w:rPr>
                <w:color w:val="FFFFFF"/>
                <w:sz w:val="20"/>
                <w:szCs w:val="20"/>
              </w:rPr>
              <w:t>Urbano</w:t>
            </w:r>
          </w:p>
        </w:tc>
        <w:tc>
          <w:tcPr>
            <w:tcW w:w="3720" w:type="dxa"/>
            <w:shd w:val="clear" w:color="auto" w:fill="93CDDC"/>
            <w:tcMar>
              <w:top w:w="100" w:type="dxa"/>
              <w:left w:w="100" w:type="dxa"/>
              <w:bottom w:w="100" w:type="dxa"/>
              <w:right w:w="100" w:type="dxa"/>
            </w:tcMar>
            <w:vAlign w:val="center"/>
          </w:tcPr>
          <w:p w14:paraId="51A91A09"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$138,961,217</w:t>
            </w:r>
          </w:p>
        </w:tc>
      </w:tr>
      <w:tr w:rsidR="008A34AE" w14:paraId="2BA2B9A6" w14:textId="77777777">
        <w:tc>
          <w:tcPr>
            <w:tcW w:w="5280" w:type="dxa"/>
            <w:shd w:val="clear" w:color="auto" w:fill="31849B"/>
            <w:tcMar>
              <w:top w:w="100" w:type="dxa"/>
              <w:left w:w="100" w:type="dxa"/>
              <w:bottom w:w="100" w:type="dxa"/>
              <w:right w:w="100" w:type="dxa"/>
            </w:tcMar>
            <w:vAlign w:val="center"/>
          </w:tcPr>
          <w:p w14:paraId="68C85D90" w14:textId="2B70B3F1" w:rsidR="008A34AE" w:rsidRDefault="00F35562">
            <w:pPr>
              <w:widowControl w:val="0"/>
              <w:pBdr>
                <w:top w:val="nil"/>
                <w:left w:val="nil"/>
                <w:bottom w:val="nil"/>
                <w:right w:val="nil"/>
                <w:between w:val="nil"/>
              </w:pBdr>
              <w:spacing w:line="240" w:lineRule="auto"/>
              <w:contextualSpacing w:val="0"/>
              <w:rPr>
                <w:color w:val="FFFFFF"/>
                <w:sz w:val="20"/>
                <w:szCs w:val="20"/>
              </w:rPr>
            </w:pPr>
            <w:r>
              <w:rPr>
                <w:color w:val="FFFFFF"/>
                <w:sz w:val="20"/>
                <w:szCs w:val="20"/>
              </w:rPr>
              <w:t xml:space="preserve">Forestal y de </w:t>
            </w:r>
            <w:r w:rsidR="00C070DC">
              <w:rPr>
                <w:color w:val="FFFFFF"/>
                <w:sz w:val="20"/>
                <w:szCs w:val="20"/>
              </w:rPr>
              <w:t>V</w:t>
            </w:r>
            <w:r>
              <w:rPr>
                <w:color w:val="FFFFFF"/>
                <w:sz w:val="20"/>
                <w:szCs w:val="20"/>
              </w:rPr>
              <w:t>iveros</w:t>
            </w:r>
          </w:p>
        </w:tc>
        <w:tc>
          <w:tcPr>
            <w:tcW w:w="3720" w:type="dxa"/>
            <w:shd w:val="clear" w:color="auto" w:fill="93CDDC"/>
            <w:tcMar>
              <w:top w:w="100" w:type="dxa"/>
              <w:left w:w="100" w:type="dxa"/>
              <w:bottom w:w="100" w:type="dxa"/>
              <w:right w:w="100" w:type="dxa"/>
            </w:tcMar>
            <w:vAlign w:val="center"/>
          </w:tcPr>
          <w:p w14:paraId="69BA502D"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$48,960,641</w:t>
            </w:r>
          </w:p>
        </w:tc>
      </w:tr>
      <w:tr w:rsidR="008A34AE" w14:paraId="23C503C9" w14:textId="77777777">
        <w:tc>
          <w:tcPr>
            <w:tcW w:w="5280" w:type="dxa"/>
            <w:shd w:val="clear" w:color="auto" w:fill="31849B"/>
            <w:tcMar>
              <w:top w:w="100" w:type="dxa"/>
              <w:left w:w="100" w:type="dxa"/>
              <w:bottom w:w="100" w:type="dxa"/>
              <w:right w:w="100" w:type="dxa"/>
            </w:tcMar>
            <w:vAlign w:val="center"/>
          </w:tcPr>
          <w:p w14:paraId="1CB8CCFB" w14:textId="77777777" w:rsidR="008A34AE" w:rsidRDefault="00F35562">
            <w:pPr>
              <w:widowControl w:val="0"/>
              <w:pBdr>
                <w:top w:val="nil"/>
                <w:left w:val="nil"/>
                <w:bottom w:val="nil"/>
                <w:right w:val="nil"/>
                <w:between w:val="nil"/>
              </w:pBdr>
              <w:spacing w:line="240" w:lineRule="auto"/>
              <w:contextualSpacing w:val="0"/>
              <w:rPr>
                <w:color w:val="FFFFFF"/>
                <w:sz w:val="20"/>
                <w:szCs w:val="20"/>
              </w:rPr>
            </w:pPr>
            <w:r>
              <w:rPr>
                <w:color w:val="FFFFFF"/>
                <w:sz w:val="20"/>
                <w:szCs w:val="20"/>
              </w:rPr>
              <w:t xml:space="preserve">Infraestructura indígena </w:t>
            </w:r>
          </w:p>
        </w:tc>
        <w:tc>
          <w:tcPr>
            <w:tcW w:w="3720" w:type="dxa"/>
            <w:shd w:val="clear" w:color="auto" w:fill="93CDDC"/>
            <w:tcMar>
              <w:top w:w="100" w:type="dxa"/>
              <w:left w:w="100" w:type="dxa"/>
              <w:bottom w:w="100" w:type="dxa"/>
              <w:right w:w="100" w:type="dxa"/>
            </w:tcMar>
            <w:vAlign w:val="center"/>
          </w:tcPr>
          <w:p w14:paraId="789C6B15"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$48,370,000</w:t>
            </w:r>
          </w:p>
        </w:tc>
      </w:tr>
      <w:tr w:rsidR="008A34AE" w14:paraId="2C75C2D0" w14:textId="77777777">
        <w:tc>
          <w:tcPr>
            <w:tcW w:w="5280" w:type="dxa"/>
            <w:shd w:val="clear" w:color="auto" w:fill="205968"/>
            <w:tcMar>
              <w:top w:w="100" w:type="dxa"/>
              <w:left w:w="100" w:type="dxa"/>
              <w:bottom w:w="100" w:type="dxa"/>
              <w:right w:w="100" w:type="dxa"/>
            </w:tcMar>
            <w:vAlign w:val="center"/>
          </w:tcPr>
          <w:p w14:paraId="582EF2EF" w14:textId="77777777" w:rsidR="008A34AE" w:rsidRDefault="00F35562">
            <w:pPr>
              <w:widowControl w:val="0"/>
              <w:pBdr>
                <w:top w:val="nil"/>
                <w:left w:val="nil"/>
                <w:bottom w:val="nil"/>
                <w:right w:val="nil"/>
                <w:between w:val="nil"/>
              </w:pBdr>
              <w:spacing w:line="240" w:lineRule="auto"/>
              <w:contextualSpacing w:val="0"/>
              <w:rPr>
                <w:b/>
                <w:color w:val="FFFFFF"/>
                <w:sz w:val="20"/>
                <w:szCs w:val="20"/>
              </w:rPr>
            </w:pPr>
            <w:r>
              <w:rPr>
                <w:b/>
                <w:color w:val="FFFFFF"/>
                <w:sz w:val="20"/>
                <w:szCs w:val="20"/>
              </w:rPr>
              <w:t xml:space="preserve">Total </w:t>
            </w:r>
          </w:p>
        </w:tc>
        <w:tc>
          <w:tcPr>
            <w:tcW w:w="3720" w:type="dxa"/>
            <w:shd w:val="clear" w:color="auto" w:fill="205968"/>
            <w:tcMar>
              <w:top w:w="100" w:type="dxa"/>
              <w:left w:w="100" w:type="dxa"/>
              <w:bottom w:w="100" w:type="dxa"/>
              <w:right w:w="100" w:type="dxa"/>
            </w:tcMar>
            <w:vAlign w:val="center"/>
          </w:tcPr>
          <w:p w14:paraId="1C2AAE84" w14:textId="77777777" w:rsidR="008A34AE" w:rsidRDefault="00F35562">
            <w:pPr>
              <w:widowControl w:val="0"/>
              <w:pBdr>
                <w:top w:val="nil"/>
                <w:left w:val="nil"/>
                <w:bottom w:val="nil"/>
                <w:right w:val="nil"/>
                <w:between w:val="nil"/>
              </w:pBdr>
              <w:spacing w:line="240" w:lineRule="auto"/>
              <w:contextualSpacing w:val="0"/>
              <w:jc w:val="center"/>
              <w:rPr>
                <w:b/>
                <w:color w:val="FF0000"/>
                <w:sz w:val="20"/>
                <w:szCs w:val="20"/>
              </w:rPr>
            </w:pPr>
            <w:r>
              <w:rPr>
                <w:b/>
                <w:color w:val="FFFFFF"/>
                <w:sz w:val="20"/>
                <w:szCs w:val="20"/>
              </w:rPr>
              <w:t>$38,163,343,987</w:t>
            </w:r>
          </w:p>
        </w:tc>
      </w:tr>
    </w:tbl>
    <w:p w14:paraId="3CBF7CA1" w14:textId="1DB3E25E" w:rsidR="008A34AE" w:rsidRDefault="00F35562">
      <w:pPr>
        <w:spacing w:line="240" w:lineRule="auto"/>
        <w:contextualSpacing w:val="0"/>
        <w:jc w:val="both"/>
        <w:rPr>
          <w:color w:val="595959"/>
          <w:sz w:val="16"/>
          <w:szCs w:val="16"/>
          <w:highlight w:val="white"/>
        </w:rPr>
      </w:pPr>
      <w:r>
        <w:rPr>
          <w:b/>
          <w:color w:val="595959"/>
          <w:sz w:val="16"/>
          <w:szCs w:val="16"/>
          <w:highlight w:val="white"/>
        </w:rPr>
        <w:t>Fuente:</w:t>
      </w:r>
      <w:r>
        <w:rPr>
          <w:color w:val="595959"/>
          <w:sz w:val="16"/>
          <w:szCs w:val="16"/>
          <w:highlight w:val="white"/>
        </w:rPr>
        <w:t xml:space="preserve"> Elaboración propia con información del micrositio Fuerza México en la plataforma de Transparencia Presupuestaria de la SHCP. </w:t>
      </w:r>
    </w:p>
    <w:p w14:paraId="191D08E1" w14:textId="77777777" w:rsidR="008A34AE" w:rsidRDefault="008A34AE">
      <w:pPr>
        <w:contextualSpacing w:val="0"/>
        <w:jc w:val="both"/>
        <w:rPr>
          <w:color w:val="595959"/>
          <w:highlight w:val="white"/>
        </w:rPr>
      </w:pPr>
    </w:p>
    <w:p w14:paraId="09EA51CB" w14:textId="77777777" w:rsidR="008A34AE" w:rsidRDefault="00F35562" w:rsidP="00ED16E8">
      <w:pPr>
        <w:ind w:firstLine="720"/>
        <w:contextualSpacing w:val="0"/>
        <w:jc w:val="both"/>
        <w:rPr>
          <w:color w:val="595959"/>
          <w:highlight w:val="white"/>
        </w:rPr>
      </w:pPr>
      <w:r>
        <w:rPr>
          <w:color w:val="595959"/>
          <w:highlight w:val="white"/>
        </w:rPr>
        <w:t xml:space="preserve">A continuación, se presenta una síntesis de las principales omisiones de información publicada sobre los tres sectores con mayor proporción de recursos públicos aprobados. </w:t>
      </w:r>
    </w:p>
    <w:p w14:paraId="7D50991B" w14:textId="77777777" w:rsidR="008A34AE" w:rsidRDefault="00F35562" w:rsidP="00F80677">
      <w:pPr>
        <w:pStyle w:val="Ttulo2"/>
      </w:pPr>
      <w:bookmarkStart w:id="3" w:name="_Toc524361282"/>
      <w:r>
        <w:t>Sector Educativo</w:t>
      </w:r>
      <w:bookmarkEnd w:id="3"/>
      <w:r>
        <w:t xml:space="preserve"> </w:t>
      </w:r>
    </w:p>
    <w:p w14:paraId="180EA223" w14:textId="77777777" w:rsidR="008A34AE" w:rsidRDefault="00F35562" w:rsidP="00F35562">
      <w:pPr>
        <w:contextualSpacing w:val="0"/>
        <w:jc w:val="both"/>
        <w:rPr>
          <w:color w:val="595959"/>
          <w:highlight w:val="white"/>
        </w:rPr>
      </w:pPr>
      <w:r>
        <w:rPr>
          <w:color w:val="595959"/>
          <w:highlight w:val="white"/>
        </w:rPr>
        <w:t>Las escuelas afectadas por los sismos son, junto con las viviendas dañadas, uno de los temas que más preocupan a la población. La información publicada para conocer el estado que guardan las obras en este sector es deficiente. Más allá de los reportes sobre la habilitación</w:t>
      </w:r>
      <w:r w:rsidR="00587269">
        <w:rPr>
          <w:color w:val="595959"/>
          <w:highlight w:val="white"/>
        </w:rPr>
        <w:t xml:space="preserve"> de</w:t>
      </w:r>
      <w:r>
        <w:rPr>
          <w:color w:val="595959"/>
          <w:highlight w:val="white"/>
        </w:rPr>
        <w:t xml:space="preserve"> los espacios escolares y el regreso a clases de la mayor parte de las y los estudiantes, no están disponibles</w:t>
      </w:r>
      <w:r w:rsidR="00587269">
        <w:rPr>
          <w:color w:val="595959"/>
          <w:highlight w:val="white"/>
        </w:rPr>
        <w:t xml:space="preserve"> los</w:t>
      </w:r>
      <w:r>
        <w:rPr>
          <w:color w:val="595959"/>
          <w:highlight w:val="white"/>
        </w:rPr>
        <w:t xml:space="preserve"> datos, útiles, para monitorear el destino de los recursos y el avance de las obras. </w:t>
      </w:r>
    </w:p>
    <w:p w14:paraId="046EDFFA" w14:textId="0669B277" w:rsidR="008A34AE" w:rsidRDefault="00F35562">
      <w:pPr>
        <w:contextualSpacing w:val="0"/>
        <w:jc w:val="both"/>
        <w:rPr>
          <w:color w:val="595959"/>
          <w:highlight w:val="white"/>
        </w:rPr>
      </w:pPr>
      <w:r>
        <w:rPr>
          <w:color w:val="595959"/>
          <w:highlight w:val="white"/>
        </w:rPr>
        <w:tab/>
      </w:r>
      <w:r w:rsidRPr="00965E3B">
        <w:rPr>
          <w:color w:val="595959" w:themeColor="text1" w:themeTint="A6"/>
        </w:rPr>
        <w:t xml:space="preserve">La base de datos de </w:t>
      </w:r>
      <w:r w:rsidR="00587269" w:rsidRPr="00965E3B">
        <w:rPr>
          <w:i/>
          <w:color w:val="595959" w:themeColor="text1" w:themeTint="A6"/>
        </w:rPr>
        <w:t>R</w:t>
      </w:r>
      <w:r w:rsidRPr="00965E3B">
        <w:rPr>
          <w:i/>
          <w:color w:val="595959" w:themeColor="text1" w:themeTint="A6"/>
        </w:rPr>
        <w:t>econstrucción de escuelas</w:t>
      </w:r>
      <w:r w:rsidR="00FD095D" w:rsidRPr="00965E3B">
        <w:rPr>
          <w:rStyle w:val="Refdenotaalpie"/>
          <w:i/>
          <w:color w:val="595959" w:themeColor="text1" w:themeTint="A6"/>
        </w:rPr>
        <w:footnoteReference w:id="3"/>
      </w:r>
      <w:r w:rsidRPr="00965E3B">
        <w:rPr>
          <w:i/>
          <w:color w:val="595959" w:themeColor="text1" w:themeTint="A6"/>
        </w:rPr>
        <w:t xml:space="preserve">, </w:t>
      </w:r>
      <w:r w:rsidRPr="00965E3B">
        <w:rPr>
          <w:color w:val="595959" w:themeColor="text1" w:themeTint="A6"/>
        </w:rPr>
        <w:t xml:space="preserve">publicada en el micrositio FM-TP por la Secretaría de Educación Pública </w:t>
      </w:r>
      <w:r w:rsidRPr="00965E3B">
        <w:rPr>
          <w:color w:val="595959" w:themeColor="text1" w:themeTint="A6"/>
          <w:sz w:val="20"/>
          <w:szCs w:val="20"/>
        </w:rPr>
        <w:t>(SEP)</w:t>
      </w:r>
      <w:r w:rsidR="00965E3B" w:rsidRPr="00965E3B">
        <w:rPr>
          <w:color w:val="595959" w:themeColor="text1" w:themeTint="A6"/>
        </w:rPr>
        <w:t xml:space="preserve">, integra 19,194 </w:t>
      </w:r>
      <w:r w:rsidRPr="00965E3B">
        <w:rPr>
          <w:color w:val="595959" w:themeColor="text1" w:themeTint="A6"/>
        </w:rPr>
        <w:t xml:space="preserve">registros de los planteles afectados. La infraestructura de Primaria </w:t>
      </w:r>
      <w:r w:rsidR="0040629A" w:rsidRPr="00965E3B">
        <w:rPr>
          <w:color w:val="595959" w:themeColor="text1" w:themeTint="A6"/>
        </w:rPr>
        <w:t>(41%, 7,820 registros)</w:t>
      </w:r>
      <w:r w:rsidRPr="00965E3B">
        <w:rPr>
          <w:color w:val="595959" w:themeColor="text1" w:themeTint="A6"/>
        </w:rPr>
        <w:t>,</w:t>
      </w:r>
      <w:r w:rsidR="000C266A" w:rsidRPr="00965E3B">
        <w:rPr>
          <w:color w:val="595959" w:themeColor="text1" w:themeTint="A6"/>
        </w:rPr>
        <w:t xml:space="preserve"> de</w:t>
      </w:r>
      <w:r w:rsidRPr="00965E3B">
        <w:rPr>
          <w:color w:val="595959" w:themeColor="text1" w:themeTint="A6"/>
        </w:rPr>
        <w:t xml:space="preserve"> Preescolar </w:t>
      </w:r>
      <w:r w:rsidR="0040629A" w:rsidRPr="00965E3B">
        <w:rPr>
          <w:color w:val="595959" w:themeColor="text1" w:themeTint="A6"/>
        </w:rPr>
        <w:t>(31%, 5,969 registros)</w:t>
      </w:r>
      <w:r w:rsidRPr="00965E3B">
        <w:rPr>
          <w:color w:val="595959" w:themeColor="text1" w:themeTint="A6"/>
        </w:rPr>
        <w:t xml:space="preserve">, </w:t>
      </w:r>
      <w:r w:rsidR="000C266A" w:rsidRPr="00965E3B">
        <w:rPr>
          <w:color w:val="595959" w:themeColor="text1" w:themeTint="A6"/>
        </w:rPr>
        <w:t xml:space="preserve">de </w:t>
      </w:r>
      <w:r w:rsidRPr="00965E3B">
        <w:rPr>
          <w:color w:val="595959" w:themeColor="text1" w:themeTint="A6"/>
        </w:rPr>
        <w:t xml:space="preserve">Secundaria </w:t>
      </w:r>
      <w:r w:rsidR="0040629A" w:rsidRPr="00965E3B">
        <w:rPr>
          <w:color w:val="595959" w:themeColor="text1" w:themeTint="A6"/>
        </w:rPr>
        <w:t xml:space="preserve">(19%, 3,641 registros) </w:t>
      </w:r>
      <w:r w:rsidRPr="00965E3B">
        <w:rPr>
          <w:color w:val="595959" w:themeColor="text1" w:themeTint="A6"/>
        </w:rPr>
        <w:t xml:space="preserve">y </w:t>
      </w:r>
      <w:r w:rsidR="000C266A" w:rsidRPr="00965E3B">
        <w:rPr>
          <w:color w:val="595959" w:themeColor="text1" w:themeTint="A6"/>
        </w:rPr>
        <w:t xml:space="preserve">de </w:t>
      </w:r>
      <w:r w:rsidRPr="00965E3B">
        <w:rPr>
          <w:color w:val="595959" w:themeColor="text1" w:themeTint="A6"/>
        </w:rPr>
        <w:t xml:space="preserve">Bachillerato </w:t>
      </w:r>
      <w:r w:rsidR="0040629A" w:rsidRPr="00965E3B">
        <w:rPr>
          <w:color w:val="595959" w:themeColor="text1" w:themeTint="A6"/>
        </w:rPr>
        <w:t>(6%, 1,065 registros)</w:t>
      </w:r>
      <w:r w:rsidR="000C266A" w:rsidRPr="00965E3B">
        <w:rPr>
          <w:color w:val="595959" w:themeColor="text1" w:themeTint="A6"/>
        </w:rPr>
        <w:t>. Según esta fuente, la infraestructura de Primaria</w:t>
      </w:r>
      <w:r w:rsidRPr="00965E3B">
        <w:rPr>
          <w:color w:val="595959" w:themeColor="text1" w:themeTint="A6"/>
        </w:rPr>
        <w:t xml:space="preserve"> fue la que sufrió mayores daños</w:t>
      </w:r>
      <w:r w:rsidR="000C266A" w:rsidRPr="00965E3B">
        <w:rPr>
          <w:color w:val="595959" w:themeColor="text1" w:themeTint="A6"/>
        </w:rPr>
        <w:t>.</w:t>
      </w:r>
      <w:r w:rsidRPr="00965E3B">
        <w:rPr>
          <w:color w:val="595959" w:themeColor="text1" w:themeTint="A6"/>
        </w:rPr>
        <w:t xml:space="preserve"> </w:t>
      </w:r>
    </w:p>
    <w:p w14:paraId="2C932355" w14:textId="407FEE41" w:rsidR="008A34AE" w:rsidRDefault="00F35562">
      <w:pPr>
        <w:contextualSpacing w:val="0"/>
        <w:jc w:val="both"/>
        <w:rPr>
          <w:color w:val="595959"/>
          <w:highlight w:val="white"/>
        </w:rPr>
      </w:pPr>
      <w:r>
        <w:rPr>
          <w:color w:val="595959"/>
          <w:highlight w:val="white"/>
        </w:rPr>
        <w:tab/>
      </w:r>
      <w:r w:rsidR="00361F1A">
        <w:rPr>
          <w:color w:val="595959"/>
          <w:highlight w:val="white"/>
        </w:rPr>
        <w:t>En el mismo sitio,</w:t>
      </w:r>
      <w:r>
        <w:rPr>
          <w:color w:val="595959"/>
          <w:highlight w:val="white"/>
        </w:rPr>
        <w:t xml:space="preserve"> también se reporta que, de las 11 entidades con registros de daños, los cinco estados con mayor número de afectaciones en infraestructura educativa fueron el Estado de México, Chiapas, Oaxaca, Puebla y la Ciudad de México, acumulando 80% de las escuelas dañadas. La tabla</w:t>
      </w:r>
      <w:r>
        <w:rPr>
          <w:color w:val="595959"/>
        </w:rPr>
        <w:t xml:space="preserve"> 2 </w:t>
      </w:r>
      <w:r>
        <w:rPr>
          <w:color w:val="595959"/>
          <w:highlight w:val="white"/>
        </w:rPr>
        <w:t xml:space="preserve">muestra esta distribución y también resalta que, </w:t>
      </w:r>
      <w:r w:rsidR="00965E3B">
        <w:rPr>
          <w:color w:val="595959"/>
          <w:highlight w:val="white"/>
        </w:rPr>
        <w:t xml:space="preserve">según las cifras, </w:t>
      </w:r>
      <w:r w:rsidR="00965E3B" w:rsidRPr="00965E3B">
        <w:rPr>
          <w:color w:val="595959" w:themeColor="text1" w:themeTint="A6"/>
          <w:highlight w:val="white"/>
        </w:rPr>
        <w:t>63%</w:t>
      </w:r>
      <w:r w:rsidRPr="00965E3B">
        <w:rPr>
          <w:color w:val="595959" w:themeColor="text1" w:themeTint="A6"/>
          <w:highlight w:val="white"/>
        </w:rPr>
        <w:t xml:space="preserve"> </w:t>
      </w:r>
      <w:r>
        <w:rPr>
          <w:color w:val="595959"/>
          <w:highlight w:val="white"/>
        </w:rPr>
        <w:t xml:space="preserve">de los daños en escuelas fueron categorizados como </w:t>
      </w:r>
      <w:r w:rsidR="00965E3B">
        <w:rPr>
          <w:color w:val="595959"/>
          <w:highlight w:val="white"/>
        </w:rPr>
        <w:t xml:space="preserve">“mínimos”, en tanto </w:t>
      </w:r>
      <w:r w:rsidR="00965E3B" w:rsidRPr="00965E3B">
        <w:rPr>
          <w:color w:val="595959" w:themeColor="text1" w:themeTint="A6"/>
          <w:highlight w:val="white"/>
        </w:rPr>
        <w:t>que 36%</w:t>
      </w:r>
      <w:r w:rsidR="001C386C" w:rsidRPr="00965E3B">
        <w:rPr>
          <w:color w:val="595959" w:themeColor="text1" w:themeTint="A6"/>
          <w:highlight w:val="white"/>
        </w:rPr>
        <w:t xml:space="preserve"> </w:t>
      </w:r>
      <w:r>
        <w:rPr>
          <w:color w:val="595959"/>
          <w:highlight w:val="white"/>
        </w:rPr>
        <w:t xml:space="preserve">y 1% se reportaron como “moderados” y “graves”, respectivamente. </w:t>
      </w:r>
    </w:p>
    <w:p w14:paraId="23BF3F7C" w14:textId="77777777" w:rsidR="008A34AE" w:rsidRDefault="008A34AE">
      <w:pPr>
        <w:contextualSpacing w:val="0"/>
        <w:jc w:val="both"/>
        <w:rPr>
          <w:color w:val="FF0000"/>
          <w:highlight w:val="white"/>
        </w:rPr>
      </w:pPr>
    </w:p>
    <w:p w14:paraId="7AF33616" w14:textId="77777777" w:rsidR="008A34AE" w:rsidRDefault="00F35562">
      <w:pPr>
        <w:contextualSpacing w:val="0"/>
        <w:jc w:val="center"/>
        <w:rPr>
          <w:b/>
          <w:color w:val="595959"/>
          <w:highlight w:val="white"/>
        </w:rPr>
      </w:pPr>
      <w:r>
        <w:rPr>
          <w:b/>
          <w:color w:val="595959"/>
          <w:highlight w:val="white"/>
        </w:rPr>
        <w:t>Tabla</w:t>
      </w:r>
      <w:r>
        <w:rPr>
          <w:b/>
          <w:color w:val="595959"/>
        </w:rPr>
        <w:t xml:space="preserve"> 2</w:t>
      </w:r>
      <w:r>
        <w:rPr>
          <w:b/>
          <w:color w:val="595959"/>
          <w:highlight w:val="white"/>
        </w:rPr>
        <w:t>. Distribución de registros por tipo de daño y entidad federativa</w:t>
      </w:r>
    </w:p>
    <w:tbl>
      <w:tblPr>
        <w:tblStyle w:val="a0"/>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6"/>
        <w:gridCol w:w="1486"/>
        <w:gridCol w:w="1809"/>
        <w:gridCol w:w="1809"/>
        <w:gridCol w:w="1809"/>
      </w:tblGrid>
      <w:tr w:rsidR="008A34AE" w14:paraId="769BD57A" w14:textId="77777777" w:rsidTr="00F35562">
        <w:trPr>
          <w:tblHeader/>
        </w:trPr>
        <w:tc>
          <w:tcPr>
            <w:tcW w:w="2116" w:type="dxa"/>
            <w:shd w:val="clear" w:color="auto" w:fill="205968"/>
            <w:tcMar>
              <w:top w:w="100" w:type="dxa"/>
              <w:left w:w="100" w:type="dxa"/>
              <w:bottom w:w="100" w:type="dxa"/>
              <w:right w:w="100" w:type="dxa"/>
            </w:tcMar>
            <w:vAlign w:val="center"/>
          </w:tcPr>
          <w:p w14:paraId="5F6ED31D" w14:textId="77777777" w:rsidR="008A34AE" w:rsidRDefault="00F35562">
            <w:pPr>
              <w:widowControl w:val="0"/>
              <w:pBdr>
                <w:top w:val="nil"/>
                <w:left w:val="nil"/>
                <w:bottom w:val="nil"/>
                <w:right w:val="nil"/>
                <w:between w:val="nil"/>
              </w:pBdr>
              <w:spacing w:line="240" w:lineRule="auto"/>
              <w:contextualSpacing w:val="0"/>
              <w:jc w:val="center"/>
              <w:rPr>
                <w:b/>
                <w:color w:val="FFFFFF"/>
                <w:sz w:val="20"/>
                <w:szCs w:val="20"/>
              </w:rPr>
            </w:pPr>
            <w:r>
              <w:rPr>
                <w:b/>
                <w:color w:val="FFFFFF"/>
                <w:sz w:val="20"/>
                <w:szCs w:val="20"/>
              </w:rPr>
              <w:t>Entidad federativa</w:t>
            </w:r>
          </w:p>
        </w:tc>
        <w:tc>
          <w:tcPr>
            <w:tcW w:w="1486" w:type="dxa"/>
            <w:shd w:val="clear" w:color="auto" w:fill="205968"/>
            <w:tcMar>
              <w:top w:w="100" w:type="dxa"/>
              <w:left w:w="100" w:type="dxa"/>
              <w:bottom w:w="100" w:type="dxa"/>
              <w:right w:w="100" w:type="dxa"/>
            </w:tcMar>
            <w:vAlign w:val="center"/>
          </w:tcPr>
          <w:p w14:paraId="39A5F9BE" w14:textId="77777777" w:rsidR="008A34AE" w:rsidRDefault="00F35562">
            <w:pPr>
              <w:widowControl w:val="0"/>
              <w:pBdr>
                <w:top w:val="nil"/>
                <w:left w:val="nil"/>
                <w:bottom w:val="nil"/>
                <w:right w:val="nil"/>
                <w:between w:val="nil"/>
              </w:pBdr>
              <w:spacing w:line="240" w:lineRule="auto"/>
              <w:contextualSpacing w:val="0"/>
              <w:jc w:val="center"/>
              <w:rPr>
                <w:b/>
                <w:color w:val="FFFFFF"/>
                <w:sz w:val="20"/>
                <w:szCs w:val="20"/>
              </w:rPr>
            </w:pPr>
            <w:r>
              <w:rPr>
                <w:b/>
                <w:color w:val="FFFFFF"/>
                <w:sz w:val="20"/>
                <w:szCs w:val="20"/>
              </w:rPr>
              <w:t>Total de registros</w:t>
            </w:r>
          </w:p>
        </w:tc>
        <w:tc>
          <w:tcPr>
            <w:tcW w:w="1809" w:type="dxa"/>
            <w:shd w:val="clear" w:color="auto" w:fill="205968"/>
            <w:tcMar>
              <w:top w:w="100" w:type="dxa"/>
              <w:left w:w="100" w:type="dxa"/>
              <w:bottom w:w="100" w:type="dxa"/>
              <w:right w:w="100" w:type="dxa"/>
            </w:tcMar>
            <w:vAlign w:val="center"/>
          </w:tcPr>
          <w:p w14:paraId="2F6AD1AE" w14:textId="1F32E79A" w:rsidR="008A34AE" w:rsidRDefault="00C0753C">
            <w:pPr>
              <w:widowControl w:val="0"/>
              <w:pBdr>
                <w:top w:val="nil"/>
                <w:left w:val="nil"/>
                <w:bottom w:val="nil"/>
                <w:right w:val="nil"/>
                <w:between w:val="nil"/>
              </w:pBdr>
              <w:spacing w:line="240" w:lineRule="auto"/>
              <w:contextualSpacing w:val="0"/>
              <w:jc w:val="center"/>
              <w:rPr>
                <w:b/>
                <w:color w:val="FFFFFF"/>
                <w:sz w:val="20"/>
                <w:szCs w:val="20"/>
              </w:rPr>
            </w:pPr>
            <w:r>
              <w:rPr>
                <w:b/>
                <w:color w:val="FFFFFF"/>
                <w:sz w:val="20"/>
                <w:szCs w:val="20"/>
              </w:rPr>
              <w:t>Nivel 3. Menor</w:t>
            </w:r>
          </w:p>
        </w:tc>
        <w:tc>
          <w:tcPr>
            <w:tcW w:w="1809" w:type="dxa"/>
            <w:shd w:val="clear" w:color="auto" w:fill="205968"/>
            <w:tcMar>
              <w:top w:w="100" w:type="dxa"/>
              <w:left w:w="100" w:type="dxa"/>
              <w:bottom w:w="100" w:type="dxa"/>
              <w:right w:w="100" w:type="dxa"/>
            </w:tcMar>
            <w:vAlign w:val="center"/>
          </w:tcPr>
          <w:p w14:paraId="2FFACA04" w14:textId="77777777" w:rsidR="008A34AE" w:rsidRDefault="00F35562">
            <w:pPr>
              <w:widowControl w:val="0"/>
              <w:pBdr>
                <w:top w:val="nil"/>
                <w:left w:val="nil"/>
                <w:bottom w:val="nil"/>
                <w:right w:val="nil"/>
                <w:between w:val="nil"/>
              </w:pBdr>
              <w:spacing w:line="240" w:lineRule="auto"/>
              <w:contextualSpacing w:val="0"/>
              <w:jc w:val="center"/>
              <w:rPr>
                <w:b/>
                <w:color w:val="FFFFFF"/>
                <w:sz w:val="20"/>
                <w:szCs w:val="20"/>
              </w:rPr>
            </w:pPr>
            <w:r>
              <w:rPr>
                <w:b/>
                <w:color w:val="FFFFFF"/>
                <w:sz w:val="20"/>
                <w:szCs w:val="20"/>
              </w:rPr>
              <w:t>Nivel 2. Moderado</w:t>
            </w:r>
          </w:p>
        </w:tc>
        <w:tc>
          <w:tcPr>
            <w:tcW w:w="1809" w:type="dxa"/>
            <w:shd w:val="clear" w:color="auto" w:fill="205968"/>
            <w:tcMar>
              <w:top w:w="100" w:type="dxa"/>
              <w:left w:w="100" w:type="dxa"/>
              <w:bottom w:w="100" w:type="dxa"/>
              <w:right w:w="100" w:type="dxa"/>
            </w:tcMar>
            <w:vAlign w:val="center"/>
          </w:tcPr>
          <w:p w14:paraId="4324D212" w14:textId="77777777" w:rsidR="008A34AE" w:rsidRDefault="00F35562">
            <w:pPr>
              <w:widowControl w:val="0"/>
              <w:pBdr>
                <w:top w:val="nil"/>
                <w:left w:val="nil"/>
                <w:bottom w:val="nil"/>
                <w:right w:val="nil"/>
                <w:between w:val="nil"/>
              </w:pBdr>
              <w:spacing w:line="240" w:lineRule="auto"/>
              <w:contextualSpacing w:val="0"/>
              <w:jc w:val="center"/>
              <w:rPr>
                <w:b/>
                <w:color w:val="FFFFFF"/>
                <w:sz w:val="20"/>
                <w:szCs w:val="20"/>
              </w:rPr>
            </w:pPr>
            <w:r>
              <w:rPr>
                <w:b/>
                <w:color w:val="FFFFFF"/>
                <w:sz w:val="20"/>
                <w:szCs w:val="20"/>
              </w:rPr>
              <w:t>Nivel 1. Grave</w:t>
            </w:r>
          </w:p>
        </w:tc>
      </w:tr>
      <w:tr w:rsidR="008A34AE" w14:paraId="53EA5479" w14:textId="77777777">
        <w:tc>
          <w:tcPr>
            <w:tcW w:w="2116" w:type="dxa"/>
            <w:shd w:val="clear" w:color="auto" w:fill="31849B"/>
            <w:tcMar>
              <w:top w:w="100" w:type="dxa"/>
              <w:left w:w="100" w:type="dxa"/>
              <w:bottom w:w="100" w:type="dxa"/>
              <w:right w:w="100" w:type="dxa"/>
            </w:tcMar>
            <w:vAlign w:val="center"/>
          </w:tcPr>
          <w:p w14:paraId="53599A76" w14:textId="77777777" w:rsidR="008A34AE" w:rsidRDefault="00F35562">
            <w:pPr>
              <w:widowControl w:val="0"/>
              <w:spacing w:line="240" w:lineRule="auto"/>
              <w:contextualSpacing w:val="0"/>
              <w:rPr>
                <w:color w:val="FFFFFF"/>
                <w:sz w:val="20"/>
                <w:szCs w:val="20"/>
              </w:rPr>
            </w:pPr>
            <w:r>
              <w:rPr>
                <w:color w:val="FFFFFF"/>
                <w:sz w:val="20"/>
                <w:szCs w:val="20"/>
              </w:rPr>
              <w:t xml:space="preserve">Estado de México </w:t>
            </w:r>
          </w:p>
        </w:tc>
        <w:tc>
          <w:tcPr>
            <w:tcW w:w="1486" w:type="dxa"/>
            <w:shd w:val="clear" w:color="auto" w:fill="93CDDC"/>
            <w:tcMar>
              <w:top w:w="100" w:type="dxa"/>
              <w:left w:w="100" w:type="dxa"/>
              <w:bottom w:w="100" w:type="dxa"/>
              <w:right w:w="100" w:type="dxa"/>
            </w:tcMar>
            <w:vAlign w:val="center"/>
          </w:tcPr>
          <w:p w14:paraId="2F87857F" w14:textId="0CB4F304" w:rsidR="008A34AE" w:rsidRPr="00965E3B" w:rsidRDefault="00965E3B" w:rsidP="00965E3B">
            <w:pPr>
              <w:widowControl w:val="0"/>
              <w:spacing w:line="240" w:lineRule="auto"/>
              <w:contextualSpacing w:val="0"/>
              <w:jc w:val="center"/>
              <w:rPr>
                <w:color w:val="215868" w:themeColor="accent5" w:themeShade="80"/>
                <w:sz w:val="20"/>
                <w:szCs w:val="20"/>
              </w:rPr>
            </w:pPr>
            <w:r w:rsidRPr="00965E3B">
              <w:rPr>
                <w:color w:val="215868" w:themeColor="accent5" w:themeShade="80"/>
                <w:sz w:val="20"/>
                <w:szCs w:val="20"/>
              </w:rPr>
              <w:t>4,909</w:t>
            </w:r>
          </w:p>
        </w:tc>
        <w:tc>
          <w:tcPr>
            <w:tcW w:w="1809" w:type="dxa"/>
            <w:shd w:val="clear" w:color="auto" w:fill="93CDDC"/>
            <w:tcMar>
              <w:top w:w="100" w:type="dxa"/>
              <w:left w:w="100" w:type="dxa"/>
              <w:bottom w:w="100" w:type="dxa"/>
              <w:right w:w="100" w:type="dxa"/>
            </w:tcMar>
            <w:vAlign w:val="center"/>
          </w:tcPr>
          <w:p w14:paraId="7D1930CD" w14:textId="26525B90" w:rsidR="008A34AE" w:rsidRPr="00965E3B" w:rsidRDefault="00965E3B" w:rsidP="00965E3B">
            <w:pPr>
              <w:widowControl w:val="0"/>
              <w:spacing w:line="240" w:lineRule="auto"/>
              <w:contextualSpacing w:val="0"/>
              <w:jc w:val="center"/>
              <w:rPr>
                <w:color w:val="215868" w:themeColor="accent5" w:themeShade="80"/>
                <w:sz w:val="20"/>
                <w:szCs w:val="20"/>
              </w:rPr>
            </w:pPr>
            <w:r w:rsidRPr="00965E3B">
              <w:rPr>
                <w:color w:val="215868" w:themeColor="accent5" w:themeShade="80"/>
                <w:sz w:val="20"/>
                <w:szCs w:val="20"/>
              </w:rPr>
              <w:t>2,127</w:t>
            </w:r>
          </w:p>
        </w:tc>
        <w:tc>
          <w:tcPr>
            <w:tcW w:w="1809" w:type="dxa"/>
            <w:shd w:val="clear" w:color="auto" w:fill="93CDDC"/>
            <w:tcMar>
              <w:top w:w="100" w:type="dxa"/>
              <w:left w:w="100" w:type="dxa"/>
              <w:bottom w:w="100" w:type="dxa"/>
              <w:right w:w="100" w:type="dxa"/>
            </w:tcMar>
            <w:vAlign w:val="center"/>
          </w:tcPr>
          <w:p w14:paraId="4A72163E" w14:textId="72E1D021" w:rsidR="008A34AE" w:rsidRPr="00965E3B" w:rsidRDefault="00965E3B" w:rsidP="00965E3B">
            <w:pPr>
              <w:widowControl w:val="0"/>
              <w:spacing w:line="240" w:lineRule="auto"/>
              <w:contextualSpacing w:val="0"/>
              <w:jc w:val="center"/>
              <w:rPr>
                <w:color w:val="215868" w:themeColor="accent5" w:themeShade="80"/>
                <w:sz w:val="20"/>
                <w:szCs w:val="20"/>
              </w:rPr>
            </w:pPr>
            <w:r w:rsidRPr="00965E3B">
              <w:rPr>
                <w:color w:val="215868" w:themeColor="accent5" w:themeShade="80"/>
                <w:sz w:val="20"/>
                <w:szCs w:val="20"/>
              </w:rPr>
              <w:t>2,747</w:t>
            </w:r>
          </w:p>
        </w:tc>
        <w:tc>
          <w:tcPr>
            <w:tcW w:w="1809" w:type="dxa"/>
            <w:shd w:val="clear" w:color="auto" w:fill="93CDDC"/>
            <w:tcMar>
              <w:top w:w="100" w:type="dxa"/>
              <w:left w:w="100" w:type="dxa"/>
              <w:bottom w:w="100" w:type="dxa"/>
              <w:right w:w="100" w:type="dxa"/>
            </w:tcMar>
            <w:vAlign w:val="center"/>
          </w:tcPr>
          <w:p w14:paraId="15CC2669" w14:textId="77777777" w:rsidR="008A34AE" w:rsidRDefault="00F35562">
            <w:pPr>
              <w:widowControl w:val="0"/>
              <w:spacing w:line="240" w:lineRule="auto"/>
              <w:contextualSpacing w:val="0"/>
              <w:jc w:val="center"/>
              <w:rPr>
                <w:color w:val="205968"/>
                <w:sz w:val="20"/>
                <w:szCs w:val="20"/>
              </w:rPr>
            </w:pPr>
            <w:r>
              <w:rPr>
                <w:color w:val="205968"/>
                <w:sz w:val="20"/>
                <w:szCs w:val="20"/>
              </w:rPr>
              <w:t>35</w:t>
            </w:r>
          </w:p>
        </w:tc>
      </w:tr>
      <w:tr w:rsidR="008A34AE" w14:paraId="0B182BE3" w14:textId="77777777">
        <w:tc>
          <w:tcPr>
            <w:tcW w:w="2116" w:type="dxa"/>
            <w:shd w:val="clear" w:color="auto" w:fill="31849B"/>
            <w:tcMar>
              <w:top w:w="100" w:type="dxa"/>
              <w:left w:w="100" w:type="dxa"/>
              <w:bottom w:w="100" w:type="dxa"/>
              <w:right w:w="100" w:type="dxa"/>
            </w:tcMar>
            <w:vAlign w:val="center"/>
          </w:tcPr>
          <w:p w14:paraId="5FB786FD" w14:textId="77777777" w:rsidR="008A34AE" w:rsidRDefault="00F35562">
            <w:pPr>
              <w:widowControl w:val="0"/>
              <w:spacing w:line="240" w:lineRule="auto"/>
              <w:contextualSpacing w:val="0"/>
              <w:rPr>
                <w:color w:val="FFFFFF"/>
                <w:sz w:val="20"/>
                <w:szCs w:val="20"/>
              </w:rPr>
            </w:pPr>
            <w:r>
              <w:rPr>
                <w:color w:val="FFFFFF"/>
                <w:sz w:val="20"/>
                <w:szCs w:val="20"/>
              </w:rPr>
              <w:t xml:space="preserve">Chiapas </w:t>
            </w:r>
          </w:p>
        </w:tc>
        <w:tc>
          <w:tcPr>
            <w:tcW w:w="1486" w:type="dxa"/>
            <w:shd w:val="clear" w:color="auto" w:fill="93CDDC"/>
            <w:tcMar>
              <w:top w:w="100" w:type="dxa"/>
              <w:left w:w="100" w:type="dxa"/>
              <w:bottom w:w="100" w:type="dxa"/>
              <w:right w:w="100" w:type="dxa"/>
            </w:tcMar>
            <w:vAlign w:val="center"/>
          </w:tcPr>
          <w:p w14:paraId="1EC27A5E" w14:textId="77777777" w:rsidR="008A34AE" w:rsidRPr="00965E3B" w:rsidRDefault="00F35562" w:rsidP="00965E3B">
            <w:pPr>
              <w:widowControl w:val="0"/>
              <w:spacing w:line="240" w:lineRule="auto"/>
              <w:contextualSpacing w:val="0"/>
              <w:jc w:val="center"/>
              <w:rPr>
                <w:color w:val="215868" w:themeColor="accent5" w:themeShade="80"/>
                <w:sz w:val="20"/>
                <w:szCs w:val="20"/>
              </w:rPr>
            </w:pPr>
            <w:r w:rsidRPr="00965E3B">
              <w:rPr>
                <w:color w:val="215868" w:themeColor="accent5" w:themeShade="80"/>
                <w:sz w:val="20"/>
                <w:szCs w:val="20"/>
              </w:rPr>
              <w:t>3,067</w:t>
            </w:r>
          </w:p>
        </w:tc>
        <w:tc>
          <w:tcPr>
            <w:tcW w:w="1809" w:type="dxa"/>
            <w:shd w:val="clear" w:color="auto" w:fill="93CDDC"/>
            <w:tcMar>
              <w:top w:w="100" w:type="dxa"/>
              <w:left w:w="100" w:type="dxa"/>
              <w:bottom w:w="100" w:type="dxa"/>
              <w:right w:w="100" w:type="dxa"/>
            </w:tcMar>
            <w:vAlign w:val="center"/>
          </w:tcPr>
          <w:p w14:paraId="25DD358D" w14:textId="77777777" w:rsidR="008A34AE" w:rsidRPr="00965E3B" w:rsidRDefault="00F35562" w:rsidP="00965E3B">
            <w:pPr>
              <w:widowControl w:val="0"/>
              <w:spacing w:line="240" w:lineRule="auto"/>
              <w:contextualSpacing w:val="0"/>
              <w:jc w:val="center"/>
              <w:rPr>
                <w:color w:val="215868" w:themeColor="accent5" w:themeShade="80"/>
                <w:sz w:val="20"/>
                <w:szCs w:val="20"/>
              </w:rPr>
            </w:pPr>
            <w:r w:rsidRPr="00965E3B">
              <w:rPr>
                <w:color w:val="215868" w:themeColor="accent5" w:themeShade="80"/>
                <w:sz w:val="20"/>
                <w:szCs w:val="20"/>
              </w:rPr>
              <w:t>2,147</w:t>
            </w:r>
          </w:p>
        </w:tc>
        <w:tc>
          <w:tcPr>
            <w:tcW w:w="1809" w:type="dxa"/>
            <w:shd w:val="clear" w:color="auto" w:fill="93CDDC"/>
            <w:tcMar>
              <w:top w:w="100" w:type="dxa"/>
              <w:left w:w="100" w:type="dxa"/>
              <w:bottom w:w="100" w:type="dxa"/>
              <w:right w:w="100" w:type="dxa"/>
            </w:tcMar>
            <w:vAlign w:val="center"/>
          </w:tcPr>
          <w:p w14:paraId="325C2E0D" w14:textId="77777777" w:rsidR="008A34AE" w:rsidRPr="00965E3B" w:rsidRDefault="00F35562" w:rsidP="00965E3B">
            <w:pPr>
              <w:widowControl w:val="0"/>
              <w:spacing w:line="240" w:lineRule="auto"/>
              <w:contextualSpacing w:val="0"/>
              <w:jc w:val="center"/>
              <w:rPr>
                <w:color w:val="215868" w:themeColor="accent5" w:themeShade="80"/>
                <w:sz w:val="20"/>
                <w:szCs w:val="20"/>
              </w:rPr>
            </w:pPr>
            <w:r w:rsidRPr="00965E3B">
              <w:rPr>
                <w:color w:val="215868" w:themeColor="accent5" w:themeShade="80"/>
                <w:sz w:val="20"/>
                <w:szCs w:val="20"/>
              </w:rPr>
              <w:t>916</w:t>
            </w:r>
          </w:p>
        </w:tc>
        <w:tc>
          <w:tcPr>
            <w:tcW w:w="1809" w:type="dxa"/>
            <w:shd w:val="clear" w:color="auto" w:fill="93CDDC"/>
            <w:tcMar>
              <w:top w:w="100" w:type="dxa"/>
              <w:left w:w="100" w:type="dxa"/>
              <w:bottom w:w="100" w:type="dxa"/>
              <w:right w:w="100" w:type="dxa"/>
            </w:tcMar>
            <w:vAlign w:val="center"/>
          </w:tcPr>
          <w:p w14:paraId="155F7BAC" w14:textId="77777777" w:rsidR="008A34AE" w:rsidRDefault="00F35562">
            <w:pPr>
              <w:widowControl w:val="0"/>
              <w:spacing w:line="240" w:lineRule="auto"/>
              <w:contextualSpacing w:val="0"/>
              <w:jc w:val="center"/>
              <w:rPr>
                <w:color w:val="205968"/>
                <w:sz w:val="20"/>
                <w:szCs w:val="20"/>
              </w:rPr>
            </w:pPr>
            <w:r>
              <w:rPr>
                <w:color w:val="205968"/>
                <w:sz w:val="20"/>
                <w:szCs w:val="20"/>
              </w:rPr>
              <w:t>4</w:t>
            </w:r>
          </w:p>
        </w:tc>
      </w:tr>
      <w:tr w:rsidR="008A34AE" w14:paraId="726E2E4A" w14:textId="77777777">
        <w:tc>
          <w:tcPr>
            <w:tcW w:w="2116" w:type="dxa"/>
            <w:shd w:val="clear" w:color="auto" w:fill="31849B"/>
            <w:tcMar>
              <w:top w:w="100" w:type="dxa"/>
              <w:left w:w="100" w:type="dxa"/>
              <w:bottom w:w="100" w:type="dxa"/>
              <w:right w:w="100" w:type="dxa"/>
            </w:tcMar>
            <w:vAlign w:val="center"/>
          </w:tcPr>
          <w:p w14:paraId="395851FF" w14:textId="77777777" w:rsidR="008A34AE" w:rsidRDefault="00F35562">
            <w:pPr>
              <w:widowControl w:val="0"/>
              <w:spacing w:line="240" w:lineRule="auto"/>
              <w:contextualSpacing w:val="0"/>
              <w:rPr>
                <w:color w:val="FFFFFF"/>
                <w:sz w:val="20"/>
                <w:szCs w:val="20"/>
              </w:rPr>
            </w:pPr>
            <w:r>
              <w:rPr>
                <w:color w:val="FFFFFF"/>
                <w:sz w:val="20"/>
                <w:szCs w:val="20"/>
              </w:rPr>
              <w:t>Oaxaca</w:t>
            </w:r>
          </w:p>
        </w:tc>
        <w:tc>
          <w:tcPr>
            <w:tcW w:w="1486" w:type="dxa"/>
            <w:shd w:val="clear" w:color="auto" w:fill="93CDDC"/>
            <w:tcMar>
              <w:top w:w="100" w:type="dxa"/>
              <w:left w:w="100" w:type="dxa"/>
              <w:bottom w:w="100" w:type="dxa"/>
              <w:right w:w="100" w:type="dxa"/>
            </w:tcMar>
            <w:vAlign w:val="center"/>
          </w:tcPr>
          <w:p w14:paraId="0C4E75C3" w14:textId="4FD13E67" w:rsidR="008A34AE" w:rsidRPr="00965E3B" w:rsidRDefault="00965E3B" w:rsidP="00965E3B">
            <w:pPr>
              <w:widowControl w:val="0"/>
              <w:spacing w:line="240" w:lineRule="auto"/>
              <w:contextualSpacing w:val="0"/>
              <w:jc w:val="center"/>
              <w:rPr>
                <w:color w:val="215868" w:themeColor="accent5" w:themeShade="80"/>
                <w:sz w:val="20"/>
                <w:szCs w:val="20"/>
              </w:rPr>
            </w:pPr>
            <w:r w:rsidRPr="00965E3B">
              <w:rPr>
                <w:color w:val="215868" w:themeColor="accent5" w:themeShade="80"/>
                <w:sz w:val="20"/>
                <w:szCs w:val="20"/>
              </w:rPr>
              <w:t>3,001</w:t>
            </w:r>
          </w:p>
        </w:tc>
        <w:tc>
          <w:tcPr>
            <w:tcW w:w="1809" w:type="dxa"/>
            <w:shd w:val="clear" w:color="auto" w:fill="93CDDC"/>
            <w:tcMar>
              <w:top w:w="100" w:type="dxa"/>
              <w:left w:w="100" w:type="dxa"/>
              <w:bottom w:w="100" w:type="dxa"/>
              <w:right w:w="100" w:type="dxa"/>
            </w:tcMar>
            <w:vAlign w:val="center"/>
          </w:tcPr>
          <w:p w14:paraId="39087050" w14:textId="39083C4D" w:rsidR="008A34AE" w:rsidRPr="00965E3B" w:rsidRDefault="00965E3B" w:rsidP="00965E3B">
            <w:pPr>
              <w:widowControl w:val="0"/>
              <w:spacing w:line="240" w:lineRule="auto"/>
              <w:contextualSpacing w:val="0"/>
              <w:jc w:val="center"/>
              <w:rPr>
                <w:color w:val="215868" w:themeColor="accent5" w:themeShade="80"/>
                <w:sz w:val="20"/>
                <w:szCs w:val="20"/>
              </w:rPr>
            </w:pPr>
            <w:r w:rsidRPr="00965E3B">
              <w:rPr>
                <w:color w:val="215868" w:themeColor="accent5" w:themeShade="80"/>
                <w:sz w:val="20"/>
                <w:szCs w:val="20"/>
              </w:rPr>
              <w:t>1,879</w:t>
            </w:r>
          </w:p>
        </w:tc>
        <w:tc>
          <w:tcPr>
            <w:tcW w:w="1809" w:type="dxa"/>
            <w:shd w:val="clear" w:color="auto" w:fill="93CDDC"/>
            <w:tcMar>
              <w:top w:w="100" w:type="dxa"/>
              <w:left w:w="100" w:type="dxa"/>
              <w:bottom w:w="100" w:type="dxa"/>
              <w:right w:w="100" w:type="dxa"/>
            </w:tcMar>
            <w:vAlign w:val="center"/>
          </w:tcPr>
          <w:p w14:paraId="13C988ED" w14:textId="27D729F9" w:rsidR="008A34AE" w:rsidRPr="00965E3B" w:rsidRDefault="00965E3B" w:rsidP="00965E3B">
            <w:pPr>
              <w:widowControl w:val="0"/>
              <w:spacing w:line="240" w:lineRule="auto"/>
              <w:contextualSpacing w:val="0"/>
              <w:jc w:val="center"/>
              <w:rPr>
                <w:color w:val="215868" w:themeColor="accent5" w:themeShade="80"/>
                <w:sz w:val="20"/>
                <w:szCs w:val="20"/>
              </w:rPr>
            </w:pPr>
            <w:r w:rsidRPr="00965E3B">
              <w:rPr>
                <w:color w:val="215868" w:themeColor="accent5" w:themeShade="80"/>
                <w:sz w:val="20"/>
                <w:szCs w:val="20"/>
              </w:rPr>
              <w:t>1,094</w:t>
            </w:r>
          </w:p>
        </w:tc>
        <w:tc>
          <w:tcPr>
            <w:tcW w:w="1809" w:type="dxa"/>
            <w:shd w:val="clear" w:color="auto" w:fill="93CDDC"/>
            <w:tcMar>
              <w:top w:w="100" w:type="dxa"/>
              <w:left w:w="100" w:type="dxa"/>
              <w:bottom w:w="100" w:type="dxa"/>
              <w:right w:w="100" w:type="dxa"/>
            </w:tcMar>
            <w:vAlign w:val="center"/>
          </w:tcPr>
          <w:p w14:paraId="3596BA19" w14:textId="77777777" w:rsidR="008A34AE" w:rsidRDefault="00F35562">
            <w:pPr>
              <w:widowControl w:val="0"/>
              <w:spacing w:line="240" w:lineRule="auto"/>
              <w:contextualSpacing w:val="0"/>
              <w:jc w:val="center"/>
              <w:rPr>
                <w:color w:val="205968"/>
                <w:sz w:val="20"/>
                <w:szCs w:val="20"/>
              </w:rPr>
            </w:pPr>
            <w:r>
              <w:rPr>
                <w:color w:val="205968"/>
                <w:sz w:val="20"/>
                <w:szCs w:val="20"/>
              </w:rPr>
              <w:t>28</w:t>
            </w:r>
          </w:p>
        </w:tc>
      </w:tr>
      <w:tr w:rsidR="008A34AE" w14:paraId="6157979C" w14:textId="77777777">
        <w:tc>
          <w:tcPr>
            <w:tcW w:w="2116" w:type="dxa"/>
            <w:shd w:val="clear" w:color="auto" w:fill="31849B"/>
            <w:tcMar>
              <w:top w:w="100" w:type="dxa"/>
              <w:left w:w="100" w:type="dxa"/>
              <w:bottom w:w="100" w:type="dxa"/>
              <w:right w:w="100" w:type="dxa"/>
            </w:tcMar>
            <w:vAlign w:val="center"/>
          </w:tcPr>
          <w:p w14:paraId="07F2CB97" w14:textId="77777777" w:rsidR="008A34AE" w:rsidRDefault="00F35562">
            <w:pPr>
              <w:widowControl w:val="0"/>
              <w:spacing w:line="240" w:lineRule="auto"/>
              <w:contextualSpacing w:val="0"/>
              <w:rPr>
                <w:color w:val="FFFFFF"/>
                <w:sz w:val="20"/>
                <w:szCs w:val="20"/>
              </w:rPr>
            </w:pPr>
            <w:r>
              <w:rPr>
                <w:color w:val="FFFFFF"/>
                <w:sz w:val="20"/>
                <w:szCs w:val="20"/>
              </w:rPr>
              <w:t>Puebla</w:t>
            </w:r>
          </w:p>
        </w:tc>
        <w:tc>
          <w:tcPr>
            <w:tcW w:w="1486" w:type="dxa"/>
            <w:shd w:val="clear" w:color="auto" w:fill="93CDDC"/>
            <w:tcMar>
              <w:top w:w="100" w:type="dxa"/>
              <w:left w:w="100" w:type="dxa"/>
              <w:bottom w:w="100" w:type="dxa"/>
              <w:right w:w="100" w:type="dxa"/>
            </w:tcMar>
            <w:vAlign w:val="center"/>
          </w:tcPr>
          <w:p w14:paraId="08791954" w14:textId="766486F7" w:rsidR="008A34AE" w:rsidRPr="00965E3B" w:rsidRDefault="00965E3B" w:rsidP="00965E3B">
            <w:pPr>
              <w:widowControl w:val="0"/>
              <w:spacing w:line="240" w:lineRule="auto"/>
              <w:contextualSpacing w:val="0"/>
              <w:jc w:val="center"/>
              <w:rPr>
                <w:color w:val="215868" w:themeColor="accent5" w:themeShade="80"/>
                <w:sz w:val="20"/>
                <w:szCs w:val="20"/>
              </w:rPr>
            </w:pPr>
            <w:r w:rsidRPr="00965E3B">
              <w:rPr>
                <w:color w:val="215868" w:themeColor="accent5" w:themeShade="80"/>
                <w:sz w:val="20"/>
                <w:szCs w:val="20"/>
              </w:rPr>
              <w:t>2,272</w:t>
            </w:r>
          </w:p>
        </w:tc>
        <w:tc>
          <w:tcPr>
            <w:tcW w:w="1809" w:type="dxa"/>
            <w:shd w:val="clear" w:color="auto" w:fill="93CDDC"/>
            <w:tcMar>
              <w:top w:w="100" w:type="dxa"/>
              <w:left w:w="100" w:type="dxa"/>
              <w:bottom w:w="100" w:type="dxa"/>
              <w:right w:w="100" w:type="dxa"/>
            </w:tcMar>
            <w:vAlign w:val="center"/>
          </w:tcPr>
          <w:p w14:paraId="28CD6B35" w14:textId="21F91C28" w:rsidR="008A34AE" w:rsidRPr="00965E3B" w:rsidRDefault="00965E3B" w:rsidP="00965E3B">
            <w:pPr>
              <w:widowControl w:val="0"/>
              <w:spacing w:line="240" w:lineRule="auto"/>
              <w:contextualSpacing w:val="0"/>
              <w:jc w:val="center"/>
              <w:rPr>
                <w:color w:val="215868" w:themeColor="accent5" w:themeShade="80"/>
                <w:sz w:val="20"/>
                <w:szCs w:val="20"/>
              </w:rPr>
            </w:pPr>
            <w:r w:rsidRPr="00965E3B">
              <w:rPr>
                <w:color w:val="215868" w:themeColor="accent5" w:themeShade="80"/>
                <w:sz w:val="20"/>
                <w:szCs w:val="20"/>
              </w:rPr>
              <w:t>1,610</w:t>
            </w:r>
          </w:p>
        </w:tc>
        <w:tc>
          <w:tcPr>
            <w:tcW w:w="1809" w:type="dxa"/>
            <w:shd w:val="clear" w:color="auto" w:fill="93CDDC"/>
            <w:tcMar>
              <w:top w:w="100" w:type="dxa"/>
              <w:left w:w="100" w:type="dxa"/>
              <w:bottom w:w="100" w:type="dxa"/>
              <w:right w:w="100" w:type="dxa"/>
            </w:tcMar>
            <w:vAlign w:val="center"/>
          </w:tcPr>
          <w:p w14:paraId="6B9692DD" w14:textId="61F897B0" w:rsidR="008A34AE" w:rsidRPr="00965E3B" w:rsidRDefault="00F35562" w:rsidP="00965E3B">
            <w:pPr>
              <w:widowControl w:val="0"/>
              <w:spacing w:line="240" w:lineRule="auto"/>
              <w:contextualSpacing w:val="0"/>
              <w:jc w:val="center"/>
              <w:rPr>
                <w:color w:val="215868" w:themeColor="accent5" w:themeShade="80"/>
                <w:sz w:val="20"/>
                <w:szCs w:val="20"/>
              </w:rPr>
            </w:pPr>
            <w:r w:rsidRPr="00965E3B">
              <w:rPr>
                <w:color w:val="215868" w:themeColor="accent5" w:themeShade="80"/>
                <w:sz w:val="20"/>
                <w:szCs w:val="20"/>
              </w:rPr>
              <w:t>585</w:t>
            </w:r>
          </w:p>
        </w:tc>
        <w:tc>
          <w:tcPr>
            <w:tcW w:w="1809" w:type="dxa"/>
            <w:shd w:val="clear" w:color="auto" w:fill="93CDDC"/>
            <w:tcMar>
              <w:top w:w="100" w:type="dxa"/>
              <w:left w:w="100" w:type="dxa"/>
              <w:bottom w:w="100" w:type="dxa"/>
              <w:right w:w="100" w:type="dxa"/>
            </w:tcMar>
            <w:vAlign w:val="center"/>
          </w:tcPr>
          <w:p w14:paraId="0A8D147C" w14:textId="77777777" w:rsidR="008A34AE" w:rsidRDefault="00F35562">
            <w:pPr>
              <w:widowControl w:val="0"/>
              <w:spacing w:line="240" w:lineRule="auto"/>
              <w:contextualSpacing w:val="0"/>
              <w:jc w:val="center"/>
              <w:rPr>
                <w:color w:val="205968"/>
                <w:sz w:val="20"/>
                <w:szCs w:val="20"/>
              </w:rPr>
            </w:pPr>
            <w:r>
              <w:rPr>
                <w:color w:val="205968"/>
                <w:sz w:val="20"/>
                <w:szCs w:val="20"/>
              </w:rPr>
              <w:t>77</w:t>
            </w:r>
          </w:p>
        </w:tc>
      </w:tr>
      <w:tr w:rsidR="008A34AE" w14:paraId="44760865" w14:textId="77777777">
        <w:tc>
          <w:tcPr>
            <w:tcW w:w="2116" w:type="dxa"/>
            <w:shd w:val="clear" w:color="auto" w:fill="31849B"/>
            <w:tcMar>
              <w:top w:w="100" w:type="dxa"/>
              <w:left w:w="100" w:type="dxa"/>
              <w:bottom w:w="100" w:type="dxa"/>
              <w:right w:w="100" w:type="dxa"/>
            </w:tcMar>
            <w:vAlign w:val="center"/>
          </w:tcPr>
          <w:p w14:paraId="78602F35" w14:textId="77777777" w:rsidR="008A34AE" w:rsidRDefault="00F35562">
            <w:pPr>
              <w:widowControl w:val="0"/>
              <w:spacing w:line="240" w:lineRule="auto"/>
              <w:contextualSpacing w:val="0"/>
              <w:rPr>
                <w:color w:val="FFFFFF"/>
                <w:sz w:val="20"/>
                <w:szCs w:val="20"/>
              </w:rPr>
            </w:pPr>
            <w:r>
              <w:rPr>
                <w:color w:val="FFFFFF"/>
                <w:sz w:val="20"/>
                <w:szCs w:val="20"/>
              </w:rPr>
              <w:t xml:space="preserve">Ciudad de México </w:t>
            </w:r>
          </w:p>
        </w:tc>
        <w:tc>
          <w:tcPr>
            <w:tcW w:w="1486" w:type="dxa"/>
            <w:shd w:val="clear" w:color="auto" w:fill="93CDDC"/>
            <w:tcMar>
              <w:top w:w="100" w:type="dxa"/>
              <w:left w:w="100" w:type="dxa"/>
              <w:bottom w:w="100" w:type="dxa"/>
              <w:right w:w="100" w:type="dxa"/>
            </w:tcMar>
            <w:vAlign w:val="center"/>
          </w:tcPr>
          <w:p w14:paraId="1D0007E8" w14:textId="4AF8AEBE" w:rsidR="008A34AE" w:rsidRPr="00965E3B" w:rsidRDefault="00C0753C" w:rsidP="00965E3B">
            <w:pPr>
              <w:widowControl w:val="0"/>
              <w:spacing w:line="240" w:lineRule="auto"/>
              <w:contextualSpacing w:val="0"/>
              <w:jc w:val="center"/>
              <w:rPr>
                <w:color w:val="215868" w:themeColor="accent5" w:themeShade="80"/>
                <w:sz w:val="20"/>
                <w:szCs w:val="20"/>
              </w:rPr>
            </w:pPr>
            <w:r w:rsidRPr="00965E3B">
              <w:rPr>
                <w:color w:val="215868" w:themeColor="accent5" w:themeShade="80"/>
                <w:sz w:val="20"/>
                <w:szCs w:val="20"/>
              </w:rPr>
              <w:t>2,</w:t>
            </w:r>
            <w:r w:rsidR="00965E3B" w:rsidRPr="00965E3B">
              <w:rPr>
                <w:color w:val="215868" w:themeColor="accent5" w:themeShade="80"/>
                <w:sz w:val="20"/>
                <w:szCs w:val="20"/>
              </w:rPr>
              <w:t>006</w:t>
            </w:r>
          </w:p>
        </w:tc>
        <w:tc>
          <w:tcPr>
            <w:tcW w:w="1809" w:type="dxa"/>
            <w:shd w:val="clear" w:color="auto" w:fill="93CDDC"/>
            <w:tcMar>
              <w:top w:w="100" w:type="dxa"/>
              <w:left w:w="100" w:type="dxa"/>
              <w:bottom w:w="100" w:type="dxa"/>
              <w:right w:w="100" w:type="dxa"/>
            </w:tcMar>
            <w:vAlign w:val="center"/>
          </w:tcPr>
          <w:p w14:paraId="253C084E" w14:textId="4D743357" w:rsidR="008A34AE" w:rsidRPr="00965E3B" w:rsidRDefault="00965E3B" w:rsidP="00965E3B">
            <w:pPr>
              <w:widowControl w:val="0"/>
              <w:spacing w:line="240" w:lineRule="auto"/>
              <w:contextualSpacing w:val="0"/>
              <w:jc w:val="center"/>
              <w:rPr>
                <w:color w:val="215868" w:themeColor="accent5" w:themeShade="80"/>
                <w:sz w:val="20"/>
                <w:szCs w:val="20"/>
              </w:rPr>
            </w:pPr>
            <w:r w:rsidRPr="00965E3B">
              <w:rPr>
                <w:color w:val="215868" w:themeColor="accent5" w:themeShade="80"/>
                <w:sz w:val="20"/>
                <w:szCs w:val="20"/>
              </w:rPr>
              <w:t>1,169</w:t>
            </w:r>
          </w:p>
        </w:tc>
        <w:tc>
          <w:tcPr>
            <w:tcW w:w="1809" w:type="dxa"/>
            <w:shd w:val="clear" w:color="auto" w:fill="93CDDC"/>
            <w:tcMar>
              <w:top w:w="100" w:type="dxa"/>
              <w:left w:w="100" w:type="dxa"/>
              <w:bottom w:w="100" w:type="dxa"/>
              <w:right w:w="100" w:type="dxa"/>
            </w:tcMar>
            <w:vAlign w:val="center"/>
          </w:tcPr>
          <w:p w14:paraId="0B175495" w14:textId="5F3721C8" w:rsidR="008A34AE" w:rsidRPr="00965E3B" w:rsidRDefault="00965E3B" w:rsidP="00965E3B">
            <w:pPr>
              <w:widowControl w:val="0"/>
              <w:spacing w:line="240" w:lineRule="auto"/>
              <w:contextualSpacing w:val="0"/>
              <w:jc w:val="center"/>
              <w:rPr>
                <w:color w:val="215868" w:themeColor="accent5" w:themeShade="80"/>
                <w:sz w:val="20"/>
                <w:szCs w:val="20"/>
              </w:rPr>
            </w:pPr>
            <w:r w:rsidRPr="00965E3B">
              <w:rPr>
                <w:color w:val="215868" w:themeColor="accent5" w:themeShade="80"/>
                <w:sz w:val="20"/>
                <w:szCs w:val="20"/>
              </w:rPr>
              <w:t>828</w:t>
            </w:r>
          </w:p>
        </w:tc>
        <w:tc>
          <w:tcPr>
            <w:tcW w:w="1809" w:type="dxa"/>
            <w:shd w:val="clear" w:color="auto" w:fill="93CDDC"/>
            <w:tcMar>
              <w:top w:w="100" w:type="dxa"/>
              <w:left w:w="100" w:type="dxa"/>
              <w:bottom w:w="100" w:type="dxa"/>
              <w:right w:w="100" w:type="dxa"/>
            </w:tcMar>
            <w:vAlign w:val="center"/>
          </w:tcPr>
          <w:p w14:paraId="19148D1B" w14:textId="77777777" w:rsidR="008A34AE" w:rsidRDefault="00F35562">
            <w:pPr>
              <w:widowControl w:val="0"/>
              <w:spacing w:line="240" w:lineRule="auto"/>
              <w:contextualSpacing w:val="0"/>
              <w:jc w:val="center"/>
              <w:rPr>
                <w:color w:val="205968"/>
                <w:sz w:val="20"/>
                <w:szCs w:val="20"/>
              </w:rPr>
            </w:pPr>
            <w:r>
              <w:rPr>
                <w:color w:val="205968"/>
                <w:sz w:val="20"/>
                <w:szCs w:val="20"/>
              </w:rPr>
              <w:t>9</w:t>
            </w:r>
          </w:p>
        </w:tc>
      </w:tr>
      <w:tr w:rsidR="008A34AE" w14:paraId="2BB4627A" w14:textId="77777777">
        <w:tc>
          <w:tcPr>
            <w:tcW w:w="2116" w:type="dxa"/>
            <w:shd w:val="clear" w:color="auto" w:fill="31849B"/>
            <w:tcMar>
              <w:top w:w="100" w:type="dxa"/>
              <w:left w:w="100" w:type="dxa"/>
              <w:bottom w:w="100" w:type="dxa"/>
              <w:right w:w="100" w:type="dxa"/>
            </w:tcMar>
            <w:vAlign w:val="center"/>
          </w:tcPr>
          <w:p w14:paraId="7F2CDE62" w14:textId="77777777" w:rsidR="008A34AE" w:rsidRDefault="00F35562">
            <w:pPr>
              <w:widowControl w:val="0"/>
              <w:spacing w:line="240" w:lineRule="auto"/>
              <w:contextualSpacing w:val="0"/>
              <w:rPr>
                <w:color w:val="FFFFFF"/>
                <w:sz w:val="20"/>
                <w:szCs w:val="20"/>
              </w:rPr>
            </w:pPr>
            <w:r>
              <w:rPr>
                <w:color w:val="FFFFFF"/>
                <w:sz w:val="20"/>
                <w:szCs w:val="20"/>
              </w:rPr>
              <w:t xml:space="preserve">Morelos </w:t>
            </w:r>
          </w:p>
        </w:tc>
        <w:tc>
          <w:tcPr>
            <w:tcW w:w="1486" w:type="dxa"/>
            <w:shd w:val="clear" w:color="auto" w:fill="93CDDC"/>
            <w:tcMar>
              <w:top w:w="100" w:type="dxa"/>
              <w:left w:w="100" w:type="dxa"/>
              <w:bottom w:w="100" w:type="dxa"/>
              <w:right w:w="100" w:type="dxa"/>
            </w:tcMar>
            <w:vAlign w:val="center"/>
          </w:tcPr>
          <w:p w14:paraId="775C51AE" w14:textId="6961A828" w:rsidR="008A34AE" w:rsidRPr="00965E3B" w:rsidRDefault="00965E3B" w:rsidP="00965E3B">
            <w:pPr>
              <w:widowControl w:val="0"/>
              <w:spacing w:line="240" w:lineRule="auto"/>
              <w:contextualSpacing w:val="0"/>
              <w:jc w:val="center"/>
              <w:rPr>
                <w:color w:val="215868" w:themeColor="accent5" w:themeShade="80"/>
                <w:sz w:val="20"/>
                <w:szCs w:val="20"/>
              </w:rPr>
            </w:pPr>
            <w:r w:rsidRPr="00965E3B">
              <w:rPr>
                <w:color w:val="215868" w:themeColor="accent5" w:themeShade="80"/>
                <w:sz w:val="20"/>
                <w:szCs w:val="20"/>
              </w:rPr>
              <w:t>1,341</w:t>
            </w:r>
          </w:p>
        </w:tc>
        <w:tc>
          <w:tcPr>
            <w:tcW w:w="1809" w:type="dxa"/>
            <w:shd w:val="clear" w:color="auto" w:fill="93CDDC"/>
            <w:tcMar>
              <w:top w:w="100" w:type="dxa"/>
              <w:left w:w="100" w:type="dxa"/>
              <w:bottom w:w="100" w:type="dxa"/>
              <w:right w:w="100" w:type="dxa"/>
            </w:tcMar>
            <w:vAlign w:val="center"/>
          </w:tcPr>
          <w:p w14:paraId="2BB6789F" w14:textId="7077A6DF" w:rsidR="008A34AE" w:rsidRPr="00965E3B" w:rsidRDefault="00965E3B" w:rsidP="00965E3B">
            <w:pPr>
              <w:widowControl w:val="0"/>
              <w:spacing w:line="240" w:lineRule="auto"/>
              <w:contextualSpacing w:val="0"/>
              <w:jc w:val="center"/>
              <w:rPr>
                <w:color w:val="215868" w:themeColor="accent5" w:themeShade="80"/>
                <w:sz w:val="20"/>
                <w:szCs w:val="20"/>
              </w:rPr>
            </w:pPr>
            <w:r w:rsidRPr="00965E3B">
              <w:rPr>
                <w:color w:val="215868" w:themeColor="accent5" w:themeShade="80"/>
                <w:sz w:val="20"/>
                <w:szCs w:val="20"/>
              </w:rPr>
              <w:t>904</w:t>
            </w:r>
          </w:p>
        </w:tc>
        <w:tc>
          <w:tcPr>
            <w:tcW w:w="1809" w:type="dxa"/>
            <w:shd w:val="clear" w:color="auto" w:fill="93CDDC"/>
            <w:tcMar>
              <w:top w:w="100" w:type="dxa"/>
              <w:left w:w="100" w:type="dxa"/>
              <w:bottom w:w="100" w:type="dxa"/>
              <w:right w:w="100" w:type="dxa"/>
            </w:tcMar>
            <w:vAlign w:val="center"/>
          </w:tcPr>
          <w:p w14:paraId="123E41B5" w14:textId="77777777" w:rsidR="008A34AE" w:rsidRDefault="00F35562">
            <w:pPr>
              <w:widowControl w:val="0"/>
              <w:spacing w:line="240" w:lineRule="auto"/>
              <w:contextualSpacing w:val="0"/>
              <w:jc w:val="center"/>
              <w:rPr>
                <w:color w:val="205968"/>
                <w:sz w:val="20"/>
                <w:szCs w:val="20"/>
              </w:rPr>
            </w:pPr>
            <w:r>
              <w:rPr>
                <w:color w:val="205968"/>
                <w:sz w:val="20"/>
                <w:szCs w:val="20"/>
              </w:rPr>
              <w:t>396</w:t>
            </w:r>
          </w:p>
        </w:tc>
        <w:tc>
          <w:tcPr>
            <w:tcW w:w="1809" w:type="dxa"/>
            <w:shd w:val="clear" w:color="auto" w:fill="93CDDC"/>
            <w:tcMar>
              <w:top w:w="100" w:type="dxa"/>
              <w:left w:w="100" w:type="dxa"/>
              <w:bottom w:w="100" w:type="dxa"/>
              <w:right w:w="100" w:type="dxa"/>
            </w:tcMar>
            <w:vAlign w:val="center"/>
          </w:tcPr>
          <w:p w14:paraId="796B7D57" w14:textId="77777777" w:rsidR="008A34AE" w:rsidRDefault="00F35562">
            <w:pPr>
              <w:widowControl w:val="0"/>
              <w:spacing w:line="240" w:lineRule="auto"/>
              <w:contextualSpacing w:val="0"/>
              <w:jc w:val="center"/>
              <w:rPr>
                <w:color w:val="205968"/>
                <w:sz w:val="20"/>
                <w:szCs w:val="20"/>
              </w:rPr>
            </w:pPr>
            <w:r>
              <w:rPr>
                <w:color w:val="205968"/>
                <w:sz w:val="20"/>
                <w:szCs w:val="20"/>
              </w:rPr>
              <w:t>41</w:t>
            </w:r>
          </w:p>
        </w:tc>
      </w:tr>
      <w:tr w:rsidR="008A34AE" w14:paraId="20000FC6" w14:textId="77777777">
        <w:tc>
          <w:tcPr>
            <w:tcW w:w="2116" w:type="dxa"/>
            <w:shd w:val="clear" w:color="auto" w:fill="31849B"/>
            <w:tcMar>
              <w:top w:w="100" w:type="dxa"/>
              <w:left w:w="100" w:type="dxa"/>
              <w:bottom w:w="100" w:type="dxa"/>
              <w:right w:w="100" w:type="dxa"/>
            </w:tcMar>
            <w:vAlign w:val="center"/>
          </w:tcPr>
          <w:p w14:paraId="42329D24" w14:textId="77777777" w:rsidR="008A34AE" w:rsidRDefault="00F35562">
            <w:pPr>
              <w:widowControl w:val="0"/>
              <w:spacing w:line="240" w:lineRule="auto"/>
              <w:contextualSpacing w:val="0"/>
              <w:rPr>
                <w:color w:val="FFFFFF"/>
                <w:sz w:val="20"/>
                <w:szCs w:val="20"/>
              </w:rPr>
            </w:pPr>
            <w:r>
              <w:rPr>
                <w:color w:val="FFFFFF"/>
                <w:sz w:val="20"/>
                <w:szCs w:val="20"/>
              </w:rPr>
              <w:t>Tlaxcala</w:t>
            </w:r>
          </w:p>
        </w:tc>
        <w:tc>
          <w:tcPr>
            <w:tcW w:w="1486" w:type="dxa"/>
            <w:shd w:val="clear" w:color="auto" w:fill="93CDDC"/>
            <w:tcMar>
              <w:top w:w="100" w:type="dxa"/>
              <w:left w:w="100" w:type="dxa"/>
              <w:bottom w:w="100" w:type="dxa"/>
              <w:right w:w="100" w:type="dxa"/>
            </w:tcMar>
            <w:vAlign w:val="center"/>
          </w:tcPr>
          <w:p w14:paraId="2AC3381C" w14:textId="77777777" w:rsidR="008A34AE" w:rsidRPr="00965E3B" w:rsidRDefault="00F35562" w:rsidP="00965E3B">
            <w:pPr>
              <w:widowControl w:val="0"/>
              <w:spacing w:line="240" w:lineRule="auto"/>
              <w:contextualSpacing w:val="0"/>
              <w:jc w:val="center"/>
              <w:rPr>
                <w:color w:val="215868" w:themeColor="accent5" w:themeShade="80"/>
                <w:sz w:val="20"/>
                <w:szCs w:val="20"/>
              </w:rPr>
            </w:pPr>
            <w:r w:rsidRPr="00965E3B">
              <w:rPr>
                <w:color w:val="215868" w:themeColor="accent5" w:themeShade="80"/>
                <w:sz w:val="20"/>
                <w:szCs w:val="20"/>
              </w:rPr>
              <w:t>1,013</w:t>
            </w:r>
          </w:p>
        </w:tc>
        <w:tc>
          <w:tcPr>
            <w:tcW w:w="1809" w:type="dxa"/>
            <w:shd w:val="clear" w:color="auto" w:fill="93CDDC"/>
            <w:tcMar>
              <w:top w:w="100" w:type="dxa"/>
              <w:left w:w="100" w:type="dxa"/>
              <w:bottom w:w="100" w:type="dxa"/>
              <w:right w:w="100" w:type="dxa"/>
            </w:tcMar>
            <w:vAlign w:val="center"/>
          </w:tcPr>
          <w:p w14:paraId="1E4C4F55" w14:textId="77777777" w:rsidR="008A34AE" w:rsidRPr="00965E3B" w:rsidRDefault="00F35562" w:rsidP="00965E3B">
            <w:pPr>
              <w:widowControl w:val="0"/>
              <w:spacing w:line="240" w:lineRule="auto"/>
              <w:contextualSpacing w:val="0"/>
              <w:jc w:val="center"/>
              <w:rPr>
                <w:color w:val="215868" w:themeColor="accent5" w:themeShade="80"/>
                <w:sz w:val="20"/>
                <w:szCs w:val="20"/>
              </w:rPr>
            </w:pPr>
            <w:r w:rsidRPr="00965E3B">
              <w:rPr>
                <w:color w:val="215868" w:themeColor="accent5" w:themeShade="80"/>
                <w:sz w:val="20"/>
                <w:szCs w:val="20"/>
              </w:rPr>
              <w:t>814</w:t>
            </w:r>
          </w:p>
        </w:tc>
        <w:tc>
          <w:tcPr>
            <w:tcW w:w="1809" w:type="dxa"/>
            <w:shd w:val="clear" w:color="auto" w:fill="93CDDC"/>
            <w:tcMar>
              <w:top w:w="100" w:type="dxa"/>
              <w:left w:w="100" w:type="dxa"/>
              <w:bottom w:w="100" w:type="dxa"/>
              <w:right w:w="100" w:type="dxa"/>
            </w:tcMar>
            <w:vAlign w:val="center"/>
          </w:tcPr>
          <w:p w14:paraId="708C3C74" w14:textId="77777777" w:rsidR="008A34AE" w:rsidRDefault="00F35562">
            <w:pPr>
              <w:widowControl w:val="0"/>
              <w:spacing w:line="240" w:lineRule="auto"/>
              <w:contextualSpacing w:val="0"/>
              <w:jc w:val="center"/>
              <w:rPr>
                <w:color w:val="205968"/>
                <w:sz w:val="20"/>
                <w:szCs w:val="20"/>
              </w:rPr>
            </w:pPr>
            <w:r>
              <w:rPr>
                <w:color w:val="205968"/>
                <w:sz w:val="20"/>
                <w:szCs w:val="20"/>
              </w:rPr>
              <w:t>198</w:t>
            </w:r>
          </w:p>
        </w:tc>
        <w:tc>
          <w:tcPr>
            <w:tcW w:w="1809" w:type="dxa"/>
            <w:shd w:val="clear" w:color="auto" w:fill="93CDDC"/>
            <w:tcMar>
              <w:top w:w="100" w:type="dxa"/>
              <w:left w:w="100" w:type="dxa"/>
              <w:bottom w:w="100" w:type="dxa"/>
              <w:right w:w="100" w:type="dxa"/>
            </w:tcMar>
            <w:vAlign w:val="center"/>
          </w:tcPr>
          <w:p w14:paraId="4EF82068" w14:textId="77777777" w:rsidR="008A34AE" w:rsidRDefault="00F35562">
            <w:pPr>
              <w:widowControl w:val="0"/>
              <w:spacing w:line="240" w:lineRule="auto"/>
              <w:contextualSpacing w:val="0"/>
              <w:jc w:val="center"/>
              <w:rPr>
                <w:color w:val="205968"/>
                <w:sz w:val="20"/>
                <w:szCs w:val="20"/>
              </w:rPr>
            </w:pPr>
            <w:r>
              <w:rPr>
                <w:color w:val="205968"/>
                <w:sz w:val="20"/>
                <w:szCs w:val="20"/>
              </w:rPr>
              <w:t>1</w:t>
            </w:r>
          </w:p>
        </w:tc>
      </w:tr>
      <w:tr w:rsidR="008A34AE" w14:paraId="204A3F16" w14:textId="77777777">
        <w:tc>
          <w:tcPr>
            <w:tcW w:w="2116" w:type="dxa"/>
            <w:shd w:val="clear" w:color="auto" w:fill="31849B"/>
            <w:tcMar>
              <w:top w:w="100" w:type="dxa"/>
              <w:left w:w="100" w:type="dxa"/>
              <w:bottom w:w="100" w:type="dxa"/>
              <w:right w:w="100" w:type="dxa"/>
            </w:tcMar>
            <w:vAlign w:val="center"/>
          </w:tcPr>
          <w:p w14:paraId="3D69D82D" w14:textId="77777777" w:rsidR="008A34AE" w:rsidRDefault="00F35562">
            <w:pPr>
              <w:widowControl w:val="0"/>
              <w:spacing w:line="240" w:lineRule="auto"/>
              <w:contextualSpacing w:val="0"/>
              <w:rPr>
                <w:color w:val="FFFFFF"/>
                <w:sz w:val="20"/>
                <w:szCs w:val="20"/>
              </w:rPr>
            </w:pPr>
            <w:r>
              <w:rPr>
                <w:color w:val="FFFFFF"/>
                <w:sz w:val="20"/>
                <w:szCs w:val="20"/>
              </w:rPr>
              <w:t xml:space="preserve">Michoacán </w:t>
            </w:r>
          </w:p>
        </w:tc>
        <w:tc>
          <w:tcPr>
            <w:tcW w:w="1486" w:type="dxa"/>
            <w:shd w:val="clear" w:color="auto" w:fill="93CDDC"/>
            <w:tcMar>
              <w:top w:w="100" w:type="dxa"/>
              <w:left w:w="100" w:type="dxa"/>
              <w:bottom w:w="100" w:type="dxa"/>
              <w:right w:w="100" w:type="dxa"/>
            </w:tcMar>
            <w:vAlign w:val="center"/>
          </w:tcPr>
          <w:p w14:paraId="2097077F" w14:textId="77777777" w:rsidR="008A34AE" w:rsidRPr="00965E3B" w:rsidRDefault="00F35562" w:rsidP="00965E3B">
            <w:pPr>
              <w:widowControl w:val="0"/>
              <w:spacing w:line="240" w:lineRule="auto"/>
              <w:contextualSpacing w:val="0"/>
              <w:jc w:val="center"/>
              <w:rPr>
                <w:color w:val="215868" w:themeColor="accent5" w:themeShade="80"/>
                <w:sz w:val="20"/>
                <w:szCs w:val="20"/>
              </w:rPr>
            </w:pPr>
            <w:r w:rsidRPr="00965E3B">
              <w:rPr>
                <w:color w:val="215868" w:themeColor="accent5" w:themeShade="80"/>
                <w:sz w:val="20"/>
                <w:szCs w:val="20"/>
              </w:rPr>
              <w:t>570</w:t>
            </w:r>
          </w:p>
        </w:tc>
        <w:tc>
          <w:tcPr>
            <w:tcW w:w="1809" w:type="dxa"/>
            <w:shd w:val="clear" w:color="auto" w:fill="93CDDC"/>
            <w:tcMar>
              <w:top w:w="100" w:type="dxa"/>
              <w:left w:w="100" w:type="dxa"/>
              <w:bottom w:w="100" w:type="dxa"/>
              <w:right w:w="100" w:type="dxa"/>
            </w:tcMar>
            <w:vAlign w:val="center"/>
          </w:tcPr>
          <w:p w14:paraId="5D07621C" w14:textId="77777777" w:rsidR="008A34AE" w:rsidRPr="00965E3B" w:rsidRDefault="00F35562" w:rsidP="00965E3B">
            <w:pPr>
              <w:widowControl w:val="0"/>
              <w:spacing w:line="240" w:lineRule="auto"/>
              <w:contextualSpacing w:val="0"/>
              <w:jc w:val="center"/>
              <w:rPr>
                <w:color w:val="215868" w:themeColor="accent5" w:themeShade="80"/>
                <w:sz w:val="20"/>
                <w:szCs w:val="20"/>
              </w:rPr>
            </w:pPr>
            <w:r w:rsidRPr="00965E3B">
              <w:rPr>
                <w:color w:val="215868" w:themeColor="accent5" w:themeShade="80"/>
                <w:sz w:val="20"/>
                <w:szCs w:val="20"/>
              </w:rPr>
              <w:t>559</w:t>
            </w:r>
          </w:p>
        </w:tc>
        <w:tc>
          <w:tcPr>
            <w:tcW w:w="1809" w:type="dxa"/>
            <w:shd w:val="clear" w:color="auto" w:fill="93CDDC"/>
            <w:tcMar>
              <w:top w:w="100" w:type="dxa"/>
              <w:left w:w="100" w:type="dxa"/>
              <w:bottom w:w="100" w:type="dxa"/>
              <w:right w:w="100" w:type="dxa"/>
            </w:tcMar>
            <w:vAlign w:val="center"/>
          </w:tcPr>
          <w:p w14:paraId="7F4BB73E" w14:textId="77777777" w:rsidR="008A34AE" w:rsidRDefault="00F35562">
            <w:pPr>
              <w:widowControl w:val="0"/>
              <w:spacing w:line="240" w:lineRule="auto"/>
              <w:contextualSpacing w:val="0"/>
              <w:jc w:val="center"/>
              <w:rPr>
                <w:color w:val="205968"/>
                <w:sz w:val="20"/>
                <w:szCs w:val="20"/>
              </w:rPr>
            </w:pPr>
            <w:r>
              <w:rPr>
                <w:color w:val="205968"/>
                <w:sz w:val="20"/>
                <w:szCs w:val="20"/>
              </w:rPr>
              <w:t>11</w:t>
            </w:r>
          </w:p>
        </w:tc>
        <w:tc>
          <w:tcPr>
            <w:tcW w:w="1809" w:type="dxa"/>
            <w:shd w:val="clear" w:color="auto" w:fill="93CDDC"/>
            <w:tcMar>
              <w:top w:w="100" w:type="dxa"/>
              <w:left w:w="100" w:type="dxa"/>
              <w:bottom w:w="100" w:type="dxa"/>
              <w:right w:w="100" w:type="dxa"/>
            </w:tcMar>
            <w:vAlign w:val="center"/>
          </w:tcPr>
          <w:p w14:paraId="16C1B505" w14:textId="77777777" w:rsidR="008A34AE" w:rsidRDefault="00F35562">
            <w:pPr>
              <w:widowControl w:val="0"/>
              <w:spacing w:line="240" w:lineRule="auto"/>
              <w:contextualSpacing w:val="0"/>
              <w:jc w:val="center"/>
              <w:rPr>
                <w:color w:val="205968"/>
                <w:sz w:val="20"/>
                <w:szCs w:val="20"/>
              </w:rPr>
            </w:pPr>
            <w:r>
              <w:rPr>
                <w:color w:val="205968"/>
                <w:sz w:val="20"/>
                <w:szCs w:val="20"/>
              </w:rPr>
              <w:t>N/A</w:t>
            </w:r>
          </w:p>
        </w:tc>
      </w:tr>
      <w:tr w:rsidR="008A34AE" w14:paraId="483229D0" w14:textId="77777777">
        <w:tc>
          <w:tcPr>
            <w:tcW w:w="2116" w:type="dxa"/>
            <w:shd w:val="clear" w:color="auto" w:fill="31849B"/>
            <w:tcMar>
              <w:top w:w="100" w:type="dxa"/>
              <w:left w:w="100" w:type="dxa"/>
              <w:bottom w:w="100" w:type="dxa"/>
              <w:right w:w="100" w:type="dxa"/>
            </w:tcMar>
            <w:vAlign w:val="center"/>
          </w:tcPr>
          <w:p w14:paraId="5B62E04B" w14:textId="77777777" w:rsidR="008A34AE" w:rsidRDefault="00F35562">
            <w:pPr>
              <w:widowControl w:val="0"/>
              <w:pBdr>
                <w:top w:val="nil"/>
                <w:left w:val="nil"/>
                <w:bottom w:val="nil"/>
                <w:right w:val="nil"/>
                <w:between w:val="nil"/>
              </w:pBdr>
              <w:spacing w:line="240" w:lineRule="auto"/>
              <w:contextualSpacing w:val="0"/>
              <w:rPr>
                <w:color w:val="FFFFFF"/>
                <w:sz w:val="20"/>
                <w:szCs w:val="20"/>
              </w:rPr>
            </w:pPr>
            <w:r>
              <w:rPr>
                <w:color w:val="FFFFFF"/>
                <w:sz w:val="20"/>
                <w:szCs w:val="20"/>
              </w:rPr>
              <w:t xml:space="preserve">Guerrero </w:t>
            </w:r>
          </w:p>
        </w:tc>
        <w:tc>
          <w:tcPr>
            <w:tcW w:w="1486" w:type="dxa"/>
            <w:shd w:val="clear" w:color="auto" w:fill="93CDDC"/>
            <w:tcMar>
              <w:top w:w="100" w:type="dxa"/>
              <w:left w:w="100" w:type="dxa"/>
              <w:bottom w:w="100" w:type="dxa"/>
              <w:right w:w="100" w:type="dxa"/>
            </w:tcMar>
            <w:vAlign w:val="center"/>
          </w:tcPr>
          <w:p w14:paraId="7B438B03" w14:textId="74327C23" w:rsidR="008A34AE" w:rsidRPr="00965E3B" w:rsidRDefault="00965E3B" w:rsidP="00965E3B">
            <w:pPr>
              <w:widowControl w:val="0"/>
              <w:pBdr>
                <w:top w:val="nil"/>
                <w:left w:val="nil"/>
                <w:bottom w:val="nil"/>
                <w:right w:val="nil"/>
                <w:between w:val="nil"/>
              </w:pBdr>
              <w:spacing w:line="240" w:lineRule="auto"/>
              <w:contextualSpacing w:val="0"/>
              <w:jc w:val="center"/>
              <w:rPr>
                <w:color w:val="215868" w:themeColor="accent5" w:themeShade="80"/>
                <w:sz w:val="20"/>
                <w:szCs w:val="20"/>
              </w:rPr>
            </w:pPr>
            <w:r w:rsidRPr="00965E3B">
              <w:rPr>
                <w:color w:val="215868" w:themeColor="accent5" w:themeShade="80"/>
                <w:sz w:val="20"/>
                <w:szCs w:val="20"/>
              </w:rPr>
              <w:t>550</w:t>
            </w:r>
          </w:p>
        </w:tc>
        <w:tc>
          <w:tcPr>
            <w:tcW w:w="1809" w:type="dxa"/>
            <w:shd w:val="clear" w:color="auto" w:fill="93CDDC"/>
            <w:tcMar>
              <w:top w:w="100" w:type="dxa"/>
              <w:left w:w="100" w:type="dxa"/>
              <w:bottom w:w="100" w:type="dxa"/>
              <w:right w:w="100" w:type="dxa"/>
            </w:tcMar>
            <w:vAlign w:val="center"/>
          </w:tcPr>
          <w:p w14:paraId="6938F643" w14:textId="68F05D0A" w:rsidR="008A34AE" w:rsidRPr="00965E3B" w:rsidRDefault="00965E3B" w:rsidP="00965E3B">
            <w:pPr>
              <w:widowControl w:val="0"/>
              <w:pBdr>
                <w:top w:val="nil"/>
                <w:left w:val="nil"/>
                <w:bottom w:val="nil"/>
                <w:right w:val="nil"/>
                <w:between w:val="nil"/>
              </w:pBdr>
              <w:spacing w:line="240" w:lineRule="auto"/>
              <w:contextualSpacing w:val="0"/>
              <w:jc w:val="center"/>
              <w:rPr>
                <w:color w:val="215868" w:themeColor="accent5" w:themeShade="80"/>
                <w:sz w:val="20"/>
                <w:szCs w:val="20"/>
              </w:rPr>
            </w:pPr>
            <w:r w:rsidRPr="00965E3B">
              <w:rPr>
                <w:color w:val="215868" w:themeColor="accent5" w:themeShade="80"/>
                <w:sz w:val="20"/>
                <w:szCs w:val="20"/>
              </w:rPr>
              <w:t>419</w:t>
            </w:r>
          </w:p>
        </w:tc>
        <w:tc>
          <w:tcPr>
            <w:tcW w:w="1809" w:type="dxa"/>
            <w:shd w:val="clear" w:color="auto" w:fill="93CDDC"/>
            <w:tcMar>
              <w:top w:w="100" w:type="dxa"/>
              <w:left w:w="100" w:type="dxa"/>
              <w:bottom w:w="100" w:type="dxa"/>
              <w:right w:w="100" w:type="dxa"/>
            </w:tcMar>
            <w:vAlign w:val="center"/>
          </w:tcPr>
          <w:p w14:paraId="494C5210"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119</w:t>
            </w:r>
          </w:p>
        </w:tc>
        <w:tc>
          <w:tcPr>
            <w:tcW w:w="1809" w:type="dxa"/>
            <w:shd w:val="clear" w:color="auto" w:fill="93CDDC"/>
            <w:tcMar>
              <w:top w:w="100" w:type="dxa"/>
              <w:left w:w="100" w:type="dxa"/>
              <w:bottom w:w="100" w:type="dxa"/>
              <w:right w:w="100" w:type="dxa"/>
            </w:tcMar>
            <w:vAlign w:val="center"/>
          </w:tcPr>
          <w:p w14:paraId="0FF514F8"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12</w:t>
            </w:r>
          </w:p>
        </w:tc>
      </w:tr>
      <w:tr w:rsidR="008A34AE" w14:paraId="1FC3807F" w14:textId="77777777">
        <w:tc>
          <w:tcPr>
            <w:tcW w:w="2116" w:type="dxa"/>
            <w:shd w:val="clear" w:color="auto" w:fill="31849B"/>
            <w:tcMar>
              <w:top w:w="100" w:type="dxa"/>
              <w:left w:w="100" w:type="dxa"/>
              <w:bottom w:w="100" w:type="dxa"/>
              <w:right w:w="100" w:type="dxa"/>
            </w:tcMar>
            <w:vAlign w:val="center"/>
          </w:tcPr>
          <w:p w14:paraId="477AE17C" w14:textId="77777777" w:rsidR="008A34AE" w:rsidRDefault="00F35562">
            <w:pPr>
              <w:widowControl w:val="0"/>
              <w:pBdr>
                <w:top w:val="nil"/>
                <w:left w:val="nil"/>
                <w:bottom w:val="nil"/>
                <w:right w:val="nil"/>
                <w:between w:val="nil"/>
              </w:pBdr>
              <w:spacing w:line="240" w:lineRule="auto"/>
              <w:contextualSpacing w:val="0"/>
              <w:rPr>
                <w:color w:val="FFFFFF"/>
                <w:sz w:val="20"/>
                <w:szCs w:val="20"/>
              </w:rPr>
            </w:pPr>
            <w:r>
              <w:rPr>
                <w:color w:val="FFFFFF"/>
                <w:sz w:val="20"/>
                <w:szCs w:val="20"/>
              </w:rPr>
              <w:t xml:space="preserve">Hidalgo </w:t>
            </w:r>
          </w:p>
        </w:tc>
        <w:tc>
          <w:tcPr>
            <w:tcW w:w="1486" w:type="dxa"/>
            <w:shd w:val="clear" w:color="auto" w:fill="93CDDC"/>
            <w:tcMar>
              <w:top w:w="100" w:type="dxa"/>
              <w:left w:w="100" w:type="dxa"/>
              <w:bottom w:w="100" w:type="dxa"/>
              <w:right w:w="100" w:type="dxa"/>
            </w:tcMar>
            <w:vAlign w:val="center"/>
          </w:tcPr>
          <w:p w14:paraId="5029327B" w14:textId="77777777" w:rsidR="008A34AE" w:rsidRPr="00965E3B" w:rsidRDefault="00F35562" w:rsidP="00965E3B">
            <w:pPr>
              <w:widowControl w:val="0"/>
              <w:pBdr>
                <w:top w:val="nil"/>
                <w:left w:val="nil"/>
                <w:bottom w:val="nil"/>
                <w:right w:val="nil"/>
                <w:between w:val="nil"/>
              </w:pBdr>
              <w:spacing w:line="240" w:lineRule="auto"/>
              <w:contextualSpacing w:val="0"/>
              <w:jc w:val="center"/>
              <w:rPr>
                <w:color w:val="215868" w:themeColor="accent5" w:themeShade="80"/>
                <w:sz w:val="20"/>
                <w:szCs w:val="20"/>
              </w:rPr>
            </w:pPr>
            <w:r w:rsidRPr="00965E3B">
              <w:rPr>
                <w:color w:val="215868" w:themeColor="accent5" w:themeShade="80"/>
                <w:sz w:val="20"/>
                <w:szCs w:val="20"/>
              </w:rPr>
              <w:t>413</w:t>
            </w:r>
          </w:p>
        </w:tc>
        <w:tc>
          <w:tcPr>
            <w:tcW w:w="1809" w:type="dxa"/>
            <w:shd w:val="clear" w:color="auto" w:fill="93CDDC"/>
            <w:tcMar>
              <w:top w:w="100" w:type="dxa"/>
              <w:left w:w="100" w:type="dxa"/>
              <w:bottom w:w="100" w:type="dxa"/>
              <w:right w:w="100" w:type="dxa"/>
            </w:tcMar>
            <w:vAlign w:val="center"/>
          </w:tcPr>
          <w:p w14:paraId="578269C1" w14:textId="77777777" w:rsidR="008A34AE" w:rsidRPr="00965E3B" w:rsidRDefault="00F35562" w:rsidP="00965E3B">
            <w:pPr>
              <w:widowControl w:val="0"/>
              <w:pBdr>
                <w:top w:val="nil"/>
                <w:left w:val="nil"/>
                <w:bottom w:val="nil"/>
                <w:right w:val="nil"/>
                <w:between w:val="nil"/>
              </w:pBdr>
              <w:spacing w:line="240" w:lineRule="auto"/>
              <w:contextualSpacing w:val="0"/>
              <w:jc w:val="center"/>
              <w:rPr>
                <w:color w:val="215868" w:themeColor="accent5" w:themeShade="80"/>
                <w:sz w:val="20"/>
                <w:szCs w:val="20"/>
              </w:rPr>
            </w:pPr>
            <w:r w:rsidRPr="00965E3B">
              <w:rPr>
                <w:color w:val="215868" w:themeColor="accent5" w:themeShade="80"/>
                <w:sz w:val="20"/>
                <w:szCs w:val="20"/>
              </w:rPr>
              <w:t>368</w:t>
            </w:r>
          </w:p>
        </w:tc>
        <w:tc>
          <w:tcPr>
            <w:tcW w:w="1809" w:type="dxa"/>
            <w:shd w:val="clear" w:color="auto" w:fill="93CDDC"/>
            <w:tcMar>
              <w:top w:w="100" w:type="dxa"/>
              <w:left w:w="100" w:type="dxa"/>
              <w:bottom w:w="100" w:type="dxa"/>
              <w:right w:w="100" w:type="dxa"/>
            </w:tcMar>
            <w:vAlign w:val="center"/>
          </w:tcPr>
          <w:p w14:paraId="411FFF7C"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42</w:t>
            </w:r>
          </w:p>
        </w:tc>
        <w:tc>
          <w:tcPr>
            <w:tcW w:w="1809" w:type="dxa"/>
            <w:shd w:val="clear" w:color="auto" w:fill="93CDDC"/>
            <w:tcMar>
              <w:top w:w="100" w:type="dxa"/>
              <w:left w:w="100" w:type="dxa"/>
              <w:bottom w:w="100" w:type="dxa"/>
              <w:right w:w="100" w:type="dxa"/>
            </w:tcMar>
            <w:vAlign w:val="center"/>
          </w:tcPr>
          <w:p w14:paraId="039900E2"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3</w:t>
            </w:r>
          </w:p>
        </w:tc>
      </w:tr>
      <w:tr w:rsidR="008A34AE" w14:paraId="1F9D5C7C" w14:textId="77777777">
        <w:tc>
          <w:tcPr>
            <w:tcW w:w="2116" w:type="dxa"/>
            <w:shd w:val="clear" w:color="auto" w:fill="31849B"/>
            <w:tcMar>
              <w:top w:w="100" w:type="dxa"/>
              <w:left w:w="100" w:type="dxa"/>
              <w:bottom w:w="100" w:type="dxa"/>
              <w:right w:w="100" w:type="dxa"/>
            </w:tcMar>
            <w:vAlign w:val="center"/>
          </w:tcPr>
          <w:p w14:paraId="2A2549ED" w14:textId="77777777" w:rsidR="008A34AE" w:rsidRDefault="00F35562">
            <w:pPr>
              <w:widowControl w:val="0"/>
              <w:spacing w:line="240" w:lineRule="auto"/>
              <w:contextualSpacing w:val="0"/>
              <w:rPr>
                <w:color w:val="FFFFFF"/>
                <w:sz w:val="20"/>
                <w:szCs w:val="20"/>
              </w:rPr>
            </w:pPr>
            <w:r>
              <w:rPr>
                <w:color w:val="FFFFFF"/>
                <w:sz w:val="20"/>
                <w:szCs w:val="20"/>
              </w:rPr>
              <w:t>Veracruz</w:t>
            </w:r>
          </w:p>
        </w:tc>
        <w:tc>
          <w:tcPr>
            <w:tcW w:w="1486" w:type="dxa"/>
            <w:shd w:val="clear" w:color="auto" w:fill="93CDDC"/>
            <w:tcMar>
              <w:top w:w="100" w:type="dxa"/>
              <w:left w:w="100" w:type="dxa"/>
              <w:bottom w:w="100" w:type="dxa"/>
              <w:right w:w="100" w:type="dxa"/>
            </w:tcMar>
            <w:vAlign w:val="center"/>
          </w:tcPr>
          <w:p w14:paraId="7391CF01" w14:textId="77777777" w:rsidR="008A34AE" w:rsidRPr="00965E3B" w:rsidRDefault="00F35562" w:rsidP="00965E3B">
            <w:pPr>
              <w:widowControl w:val="0"/>
              <w:spacing w:line="240" w:lineRule="auto"/>
              <w:contextualSpacing w:val="0"/>
              <w:jc w:val="center"/>
              <w:rPr>
                <w:color w:val="215868" w:themeColor="accent5" w:themeShade="80"/>
                <w:sz w:val="20"/>
                <w:szCs w:val="20"/>
              </w:rPr>
            </w:pPr>
            <w:r w:rsidRPr="00965E3B">
              <w:rPr>
                <w:color w:val="215868" w:themeColor="accent5" w:themeShade="80"/>
                <w:sz w:val="20"/>
                <w:szCs w:val="20"/>
              </w:rPr>
              <w:t>52</w:t>
            </w:r>
          </w:p>
        </w:tc>
        <w:tc>
          <w:tcPr>
            <w:tcW w:w="1809" w:type="dxa"/>
            <w:shd w:val="clear" w:color="auto" w:fill="93CDDC"/>
            <w:tcMar>
              <w:top w:w="100" w:type="dxa"/>
              <w:left w:w="100" w:type="dxa"/>
              <w:bottom w:w="100" w:type="dxa"/>
              <w:right w:w="100" w:type="dxa"/>
            </w:tcMar>
            <w:vAlign w:val="center"/>
          </w:tcPr>
          <w:p w14:paraId="3BBF4543" w14:textId="77777777" w:rsidR="008A34AE" w:rsidRPr="00965E3B" w:rsidRDefault="00F35562" w:rsidP="00965E3B">
            <w:pPr>
              <w:widowControl w:val="0"/>
              <w:spacing w:line="240" w:lineRule="auto"/>
              <w:contextualSpacing w:val="0"/>
              <w:jc w:val="center"/>
              <w:rPr>
                <w:color w:val="215868" w:themeColor="accent5" w:themeShade="80"/>
                <w:sz w:val="20"/>
                <w:szCs w:val="20"/>
              </w:rPr>
            </w:pPr>
            <w:r w:rsidRPr="00965E3B">
              <w:rPr>
                <w:color w:val="215868" w:themeColor="accent5" w:themeShade="80"/>
                <w:sz w:val="20"/>
                <w:szCs w:val="20"/>
              </w:rPr>
              <w:t>18</w:t>
            </w:r>
          </w:p>
        </w:tc>
        <w:tc>
          <w:tcPr>
            <w:tcW w:w="1809" w:type="dxa"/>
            <w:shd w:val="clear" w:color="auto" w:fill="93CDDC"/>
            <w:tcMar>
              <w:top w:w="100" w:type="dxa"/>
              <w:left w:w="100" w:type="dxa"/>
              <w:bottom w:w="100" w:type="dxa"/>
              <w:right w:w="100" w:type="dxa"/>
            </w:tcMar>
            <w:vAlign w:val="center"/>
          </w:tcPr>
          <w:p w14:paraId="33D0E465" w14:textId="77777777" w:rsidR="008A34AE" w:rsidRDefault="00F35562">
            <w:pPr>
              <w:widowControl w:val="0"/>
              <w:spacing w:line="240" w:lineRule="auto"/>
              <w:contextualSpacing w:val="0"/>
              <w:jc w:val="center"/>
              <w:rPr>
                <w:color w:val="205968"/>
                <w:sz w:val="20"/>
                <w:szCs w:val="20"/>
              </w:rPr>
            </w:pPr>
            <w:r>
              <w:rPr>
                <w:color w:val="205968"/>
                <w:sz w:val="20"/>
                <w:szCs w:val="20"/>
              </w:rPr>
              <w:t>34</w:t>
            </w:r>
          </w:p>
        </w:tc>
        <w:tc>
          <w:tcPr>
            <w:tcW w:w="1809" w:type="dxa"/>
            <w:shd w:val="clear" w:color="auto" w:fill="93CDDC"/>
            <w:tcMar>
              <w:top w:w="100" w:type="dxa"/>
              <w:left w:w="100" w:type="dxa"/>
              <w:bottom w:w="100" w:type="dxa"/>
              <w:right w:w="100" w:type="dxa"/>
            </w:tcMar>
            <w:vAlign w:val="center"/>
          </w:tcPr>
          <w:p w14:paraId="6FD6D459" w14:textId="77777777" w:rsidR="008A34AE" w:rsidRDefault="00F35562">
            <w:pPr>
              <w:widowControl w:val="0"/>
              <w:spacing w:line="240" w:lineRule="auto"/>
              <w:contextualSpacing w:val="0"/>
              <w:jc w:val="center"/>
              <w:rPr>
                <w:color w:val="205968"/>
                <w:sz w:val="20"/>
                <w:szCs w:val="20"/>
              </w:rPr>
            </w:pPr>
            <w:r>
              <w:rPr>
                <w:color w:val="205968"/>
                <w:sz w:val="20"/>
                <w:szCs w:val="20"/>
              </w:rPr>
              <w:t>N/A</w:t>
            </w:r>
          </w:p>
        </w:tc>
      </w:tr>
      <w:tr w:rsidR="008A34AE" w14:paraId="196EF68D" w14:textId="77777777">
        <w:tc>
          <w:tcPr>
            <w:tcW w:w="2116" w:type="dxa"/>
            <w:shd w:val="clear" w:color="auto" w:fill="205968"/>
            <w:tcMar>
              <w:top w:w="100" w:type="dxa"/>
              <w:left w:w="100" w:type="dxa"/>
              <w:bottom w:w="100" w:type="dxa"/>
              <w:right w:w="100" w:type="dxa"/>
            </w:tcMar>
            <w:vAlign w:val="center"/>
          </w:tcPr>
          <w:p w14:paraId="72F1C827" w14:textId="77777777" w:rsidR="008A34AE" w:rsidRDefault="00F35562">
            <w:pPr>
              <w:widowControl w:val="0"/>
              <w:spacing w:line="240" w:lineRule="auto"/>
              <w:contextualSpacing w:val="0"/>
              <w:rPr>
                <w:b/>
                <w:color w:val="FFFFFF"/>
                <w:sz w:val="20"/>
                <w:szCs w:val="20"/>
              </w:rPr>
            </w:pPr>
            <w:r>
              <w:rPr>
                <w:b/>
                <w:color w:val="FFFFFF"/>
                <w:sz w:val="20"/>
                <w:szCs w:val="20"/>
              </w:rPr>
              <w:t>Total</w:t>
            </w:r>
          </w:p>
        </w:tc>
        <w:tc>
          <w:tcPr>
            <w:tcW w:w="1486" w:type="dxa"/>
            <w:shd w:val="clear" w:color="auto" w:fill="205968"/>
            <w:tcMar>
              <w:top w:w="100" w:type="dxa"/>
              <w:left w:w="100" w:type="dxa"/>
              <w:bottom w:w="100" w:type="dxa"/>
              <w:right w:w="100" w:type="dxa"/>
            </w:tcMar>
            <w:vAlign w:val="center"/>
          </w:tcPr>
          <w:p w14:paraId="40986878" w14:textId="7A4DA356" w:rsidR="008A34AE" w:rsidRPr="00965E3B" w:rsidRDefault="00965E3B" w:rsidP="00965E3B">
            <w:pPr>
              <w:widowControl w:val="0"/>
              <w:spacing w:line="240" w:lineRule="auto"/>
              <w:contextualSpacing w:val="0"/>
              <w:jc w:val="center"/>
              <w:rPr>
                <w:b/>
                <w:color w:val="FFFFFF" w:themeColor="background1"/>
                <w:sz w:val="20"/>
                <w:szCs w:val="20"/>
              </w:rPr>
            </w:pPr>
            <w:r w:rsidRPr="00965E3B">
              <w:rPr>
                <w:b/>
                <w:color w:val="FFFFFF" w:themeColor="background1"/>
                <w:sz w:val="20"/>
                <w:szCs w:val="20"/>
              </w:rPr>
              <w:t>19,194</w:t>
            </w:r>
          </w:p>
        </w:tc>
        <w:tc>
          <w:tcPr>
            <w:tcW w:w="1809" w:type="dxa"/>
            <w:shd w:val="clear" w:color="auto" w:fill="205968"/>
            <w:tcMar>
              <w:top w:w="100" w:type="dxa"/>
              <w:left w:w="100" w:type="dxa"/>
              <w:bottom w:w="100" w:type="dxa"/>
              <w:right w:w="100" w:type="dxa"/>
            </w:tcMar>
            <w:vAlign w:val="center"/>
          </w:tcPr>
          <w:p w14:paraId="31EC9771" w14:textId="545B84D8" w:rsidR="008A34AE" w:rsidRPr="00965E3B" w:rsidRDefault="00965E3B" w:rsidP="00965E3B">
            <w:pPr>
              <w:widowControl w:val="0"/>
              <w:spacing w:line="240" w:lineRule="auto"/>
              <w:contextualSpacing w:val="0"/>
              <w:jc w:val="center"/>
              <w:rPr>
                <w:b/>
                <w:color w:val="FFFFFF" w:themeColor="background1"/>
                <w:sz w:val="20"/>
                <w:szCs w:val="20"/>
              </w:rPr>
            </w:pPr>
            <w:r w:rsidRPr="00965E3B">
              <w:rPr>
                <w:b/>
                <w:color w:val="FFFFFF" w:themeColor="background1"/>
                <w:sz w:val="20"/>
                <w:szCs w:val="20"/>
              </w:rPr>
              <w:t>12,014</w:t>
            </w:r>
          </w:p>
        </w:tc>
        <w:tc>
          <w:tcPr>
            <w:tcW w:w="1809" w:type="dxa"/>
            <w:shd w:val="clear" w:color="auto" w:fill="205968"/>
            <w:tcMar>
              <w:top w:w="100" w:type="dxa"/>
              <w:left w:w="100" w:type="dxa"/>
              <w:bottom w:w="100" w:type="dxa"/>
              <w:right w:w="100" w:type="dxa"/>
            </w:tcMar>
            <w:vAlign w:val="center"/>
          </w:tcPr>
          <w:p w14:paraId="5C7A8757" w14:textId="6DCB3DB3" w:rsidR="008A34AE" w:rsidRPr="00965E3B" w:rsidRDefault="00965E3B" w:rsidP="00965E3B">
            <w:pPr>
              <w:widowControl w:val="0"/>
              <w:spacing w:line="240" w:lineRule="auto"/>
              <w:contextualSpacing w:val="0"/>
              <w:jc w:val="center"/>
              <w:rPr>
                <w:b/>
                <w:color w:val="FFFFFF" w:themeColor="background1"/>
                <w:sz w:val="20"/>
                <w:szCs w:val="20"/>
              </w:rPr>
            </w:pPr>
            <w:r w:rsidRPr="00965E3B">
              <w:rPr>
                <w:b/>
                <w:color w:val="FFFFFF" w:themeColor="background1"/>
                <w:sz w:val="20"/>
                <w:szCs w:val="20"/>
              </w:rPr>
              <w:t>6,970</w:t>
            </w:r>
          </w:p>
        </w:tc>
        <w:tc>
          <w:tcPr>
            <w:tcW w:w="1809" w:type="dxa"/>
            <w:shd w:val="clear" w:color="auto" w:fill="205968"/>
            <w:tcMar>
              <w:top w:w="100" w:type="dxa"/>
              <w:left w:w="100" w:type="dxa"/>
              <w:bottom w:w="100" w:type="dxa"/>
              <w:right w:w="100" w:type="dxa"/>
            </w:tcMar>
            <w:vAlign w:val="center"/>
          </w:tcPr>
          <w:p w14:paraId="63A704C5" w14:textId="290ADD36" w:rsidR="008A34AE" w:rsidRDefault="00F35562" w:rsidP="00965E3B">
            <w:pPr>
              <w:widowControl w:val="0"/>
              <w:spacing w:line="240" w:lineRule="auto"/>
              <w:contextualSpacing w:val="0"/>
              <w:jc w:val="center"/>
              <w:rPr>
                <w:b/>
                <w:color w:val="FFFFFF"/>
                <w:sz w:val="20"/>
                <w:szCs w:val="20"/>
              </w:rPr>
            </w:pPr>
            <w:r>
              <w:rPr>
                <w:b/>
                <w:color w:val="FFFFFF"/>
                <w:sz w:val="20"/>
                <w:szCs w:val="20"/>
              </w:rPr>
              <w:t>210</w:t>
            </w:r>
          </w:p>
        </w:tc>
      </w:tr>
    </w:tbl>
    <w:p w14:paraId="50F531CC" w14:textId="44B8E44C" w:rsidR="008A34AE" w:rsidRDefault="00F35562">
      <w:pPr>
        <w:spacing w:line="240" w:lineRule="auto"/>
        <w:contextualSpacing w:val="0"/>
        <w:jc w:val="both"/>
        <w:rPr>
          <w:color w:val="595959"/>
          <w:sz w:val="16"/>
          <w:szCs w:val="16"/>
        </w:rPr>
      </w:pPr>
      <w:r>
        <w:rPr>
          <w:b/>
          <w:color w:val="595959"/>
          <w:sz w:val="16"/>
          <w:szCs w:val="16"/>
          <w:highlight w:val="white"/>
        </w:rPr>
        <w:t xml:space="preserve">Fuente: </w:t>
      </w:r>
      <w:r>
        <w:rPr>
          <w:color w:val="595959"/>
          <w:sz w:val="16"/>
          <w:szCs w:val="16"/>
          <w:highlight w:val="white"/>
        </w:rPr>
        <w:t xml:space="preserve">Elaboración propia con información de la base de datos de reconstrucción de escuelas </w:t>
      </w:r>
      <w:r w:rsidR="00C907FB">
        <w:rPr>
          <w:color w:val="595959"/>
          <w:sz w:val="16"/>
          <w:szCs w:val="16"/>
        </w:rPr>
        <w:t>realizada</w:t>
      </w:r>
      <w:r>
        <w:rPr>
          <w:color w:val="595959"/>
          <w:sz w:val="16"/>
          <w:szCs w:val="16"/>
        </w:rPr>
        <w:t xml:space="preserve"> por la Secretaría de Educación Pública y publicada, en su última actualización</w:t>
      </w:r>
      <w:r w:rsidR="00361F1A">
        <w:rPr>
          <w:color w:val="595959"/>
          <w:sz w:val="16"/>
          <w:szCs w:val="16"/>
        </w:rPr>
        <w:t>,</w:t>
      </w:r>
      <w:r w:rsidR="00965E3B">
        <w:rPr>
          <w:color w:val="595959"/>
          <w:sz w:val="16"/>
          <w:szCs w:val="16"/>
        </w:rPr>
        <w:t xml:space="preserve"> el 7 de septiembre</w:t>
      </w:r>
      <w:r>
        <w:rPr>
          <w:color w:val="595959"/>
          <w:sz w:val="16"/>
          <w:szCs w:val="16"/>
        </w:rPr>
        <w:t xml:space="preserve"> de 2018, en el micrositio Fuerza México de la Plataforma de Transparencia Presupuestaria, SHCP. Consult</w:t>
      </w:r>
      <w:r w:rsidR="00965E3B">
        <w:rPr>
          <w:color w:val="595959"/>
          <w:sz w:val="16"/>
          <w:szCs w:val="16"/>
        </w:rPr>
        <w:t>ada el 6 de septiembre de 2018 y posteriormente el 13 de septiembre de 2018.</w:t>
      </w:r>
    </w:p>
    <w:p w14:paraId="69845040" w14:textId="77777777" w:rsidR="008A34AE" w:rsidRDefault="008A34AE">
      <w:pPr>
        <w:contextualSpacing w:val="0"/>
        <w:jc w:val="both"/>
        <w:rPr>
          <w:color w:val="FF0000"/>
          <w:highlight w:val="white"/>
        </w:rPr>
      </w:pPr>
    </w:p>
    <w:p w14:paraId="14078BBB" w14:textId="2B4CC5F7" w:rsidR="008A34AE" w:rsidRDefault="00F35562" w:rsidP="00ED16E8">
      <w:pPr>
        <w:ind w:firstLine="720"/>
        <w:contextualSpacing w:val="0"/>
        <w:jc w:val="both"/>
        <w:rPr>
          <w:color w:val="595959"/>
          <w:highlight w:val="white"/>
        </w:rPr>
      </w:pPr>
      <w:r>
        <w:rPr>
          <w:color w:val="595959"/>
          <w:highlight w:val="white"/>
        </w:rPr>
        <w:t xml:space="preserve">Sobre esta </w:t>
      </w:r>
      <w:r w:rsidRPr="00965E3B">
        <w:rPr>
          <w:color w:val="595959" w:themeColor="text1" w:themeTint="A6"/>
          <w:highlight w:val="white"/>
        </w:rPr>
        <w:t xml:space="preserve">clasificación, no se describen los criterios que determinan si un plantel tiene daños mínimos, </w:t>
      </w:r>
      <w:r w:rsidR="00965E3B" w:rsidRPr="00965E3B">
        <w:rPr>
          <w:color w:val="595959" w:themeColor="text1" w:themeTint="A6"/>
          <w:highlight w:val="white"/>
        </w:rPr>
        <w:t>moderados o graves. Además, 22%</w:t>
      </w:r>
      <w:r w:rsidR="001C386C" w:rsidRPr="00965E3B">
        <w:rPr>
          <w:color w:val="595959" w:themeColor="text1" w:themeTint="A6"/>
          <w:highlight w:val="white"/>
        </w:rPr>
        <w:t xml:space="preserve"> </w:t>
      </w:r>
      <w:r w:rsidRPr="00965E3B">
        <w:rPr>
          <w:color w:val="595959" w:themeColor="text1" w:themeTint="A6"/>
          <w:highlight w:val="white"/>
        </w:rPr>
        <w:t>de los registros no indican si los planteles fueron valorados</w:t>
      </w:r>
      <w:r w:rsidR="00361F1A" w:rsidRPr="00965E3B">
        <w:rPr>
          <w:color w:val="595959" w:themeColor="text1" w:themeTint="A6"/>
          <w:highlight w:val="white"/>
        </w:rPr>
        <w:t>,</w:t>
      </w:r>
      <w:r w:rsidR="00965E3B" w:rsidRPr="00965E3B">
        <w:rPr>
          <w:color w:val="595959" w:themeColor="text1" w:themeTint="A6"/>
          <w:highlight w:val="white"/>
        </w:rPr>
        <w:t xml:space="preserve"> 32%</w:t>
      </w:r>
      <w:r w:rsidR="00FD095D" w:rsidRPr="00965E3B">
        <w:rPr>
          <w:color w:val="595959" w:themeColor="text1" w:themeTint="A6"/>
          <w:highlight w:val="white"/>
        </w:rPr>
        <w:t xml:space="preserve"> </w:t>
      </w:r>
      <w:r w:rsidRPr="00965E3B">
        <w:rPr>
          <w:color w:val="595959" w:themeColor="text1" w:themeTint="A6"/>
          <w:highlight w:val="white"/>
        </w:rPr>
        <w:t>de los regist</w:t>
      </w:r>
      <w:r w:rsidR="00FD095D" w:rsidRPr="00965E3B">
        <w:rPr>
          <w:color w:val="595959" w:themeColor="text1" w:themeTint="A6"/>
          <w:highlight w:val="white"/>
        </w:rPr>
        <w:t xml:space="preserve">ros no cuentan con el detalle de </w:t>
      </w:r>
      <w:r w:rsidR="00965E3B" w:rsidRPr="00965E3B">
        <w:rPr>
          <w:color w:val="595959" w:themeColor="text1" w:themeTint="A6"/>
          <w:highlight w:val="white"/>
        </w:rPr>
        <w:t xml:space="preserve">los daños y 41% </w:t>
      </w:r>
      <w:r w:rsidRPr="00965E3B">
        <w:rPr>
          <w:color w:val="595959" w:themeColor="text1" w:themeTint="A6"/>
          <w:highlight w:val="white"/>
        </w:rPr>
        <w:t xml:space="preserve">no </w:t>
      </w:r>
      <w:r w:rsidR="00361F1A" w:rsidRPr="00965E3B">
        <w:rPr>
          <w:color w:val="595959" w:themeColor="text1" w:themeTint="A6"/>
          <w:highlight w:val="white"/>
        </w:rPr>
        <w:t>presentan</w:t>
      </w:r>
      <w:r w:rsidRPr="00965E3B">
        <w:rPr>
          <w:color w:val="595959" w:themeColor="text1" w:themeTint="A6"/>
          <w:highlight w:val="white"/>
        </w:rPr>
        <w:t xml:space="preserve"> respaldo fotográfico. </w:t>
      </w:r>
    </w:p>
    <w:p w14:paraId="00884EAB" w14:textId="6CD47033" w:rsidR="008A34AE" w:rsidRDefault="00F35562">
      <w:pPr>
        <w:contextualSpacing w:val="0"/>
        <w:jc w:val="both"/>
        <w:rPr>
          <w:color w:val="595959"/>
          <w:highlight w:val="white"/>
        </w:rPr>
      </w:pPr>
      <w:r>
        <w:rPr>
          <w:color w:val="595959"/>
          <w:highlight w:val="white"/>
        </w:rPr>
        <w:tab/>
        <w:t xml:space="preserve">Por otro lado, todos los registros </w:t>
      </w:r>
      <w:r w:rsidR="00D8672D">
        <w:rPr>
          <w:color w:val="595959"/>
          <w:highlight w:val="white"/>
        </w:rPr>
        <w:t>muestran</w:t>
      </w:r>
      <w:r>
        <w:rPr>
          <w:color w:val="595959"/>
          <w:highlight w:val="white"/>
        </w:rPr>
        <w:t xml:space="preserve"> como “información en construcción” los datos sobre si las escuelas están operando </w:t>
      </w:r>
      <w:r w:rsidR="00965E3B">
        <w:rPr>
          <w:color w:val="595959"/>
          <w:highlight w:val="white"/>
        </w:rPr>
        <w:t xml:space="preserve">o no. Asimismo, </w:t>
      </w:r>
      <w:r w:rsidR="00FD095D">
        <w:rPr>
          <w:color w:val="595959"/>
          <w:highlight w:val="white"/>
        </w:rPr>
        <w:t>26</w:t>
      </w:r>
      <w:r w:rsidR="00965E3B">
        <w:rPr>
          <w:color w:val="595959"/>
          <w:highlight w:val="white"/>
        </w:rPr>
        <w:t>% de</w:t>
      </w:r>
      <w:r>
        <w:rPr>
          <w:color w:val="595959"/>
          <w:highlight w:val="white"/>
        </w:rPr>
        <w:t xml:space="preserve"> los registros no reportan ningún dictamen técnico y todos los registros carecen de una indicación sobre la dependencia que debería supervisar las obras, </w:t>
      </w:r>
      <w:r w:rsidR="00D8672D">
        <w:rPr>
          <w:color w:val="595959"/>
          <w:highlight w:val="white"/>
        </w:rPr>
        <w:t>d</w:t>
      </w:r>
      <w:r>
        <w:rPr>
          <w:color w:val="595959"/>
          <w:highlight w:val="white"/>
        </w:rPr>
        <w:t xml:space="preserve">el nombre de la o el supervisor y, sobre todo, </w:t>
      </w:r>
      <w:r w:rsidR="00D8672D">
        <w:rPr>
          <w:color w:val="595959"/>
          <w:highlight w:val="white"/>
        </w:rPr>
        <w:t>d</w:t>
      </w:r>
      <w:r>
        <w:rPr>
          <w:color w:val="595959"/>
          <w:highlight w:val="white"/>
        </w:rPr>
        <w:t xml:space="preserve">el registro fotográfico de avance al 25%, 50% y 100%. </w:t>
      </w:r>
    </w:p>
    <w:p w14:paraId="083E9F69" w14:textId="77777777" w:rsidR="008A34AE" w:rsidRPr="00ED16E8" w:rsidRDefault="00F35562">
      <w:pPr>
        <w:contextualSpacing w:val="0"/>
        <w:jc w:val="both"/>
        <w:rPr>
          <w:color w:val="595959"/>
        </w:rPr>
      </w:pPr>
      <w:r>
        <w:rPr>
          <w:color w:val="595959"/>
          <w:highlight w:val="white"/>
        </w:rPr>
        <w:tab/>
      </w:r>
      <w:r w:rsidR="00D8672D">
        <w:rPr>
          <w:color w:val="595959"/>
          <w:highlight w:val="white"/>
        </w:rPr>
        <w:t>Por tanto</w:t>
      </w:r>
      <w:r>
        <w:rPr>
          <w:color w:val="595959"/>
          <w:highlight w:val="white"/>
        </w:rPr>
        <w:t xml:space="preserve">, las interrogantes generales sobre la consistencia entre el monto que se destinó a este sector y las obras que se han realizado, no se pueden responder a la luz de la información disponible. Sobresale, en términos de rendición de cuentas, la incapacidad de hacer un </w:t>
      </w:r>
      <w:r>
        <w:rPr>
          <w:i/>
          <w:color w:val="595959"/>
          <w:highlight w:val="white"/>
        </w:rPr>
        <w:t>corte de caja</w:t>
      </w:r>
      <w:r>
        <w:rPr>
          <w:color w:val="595959"/>
          <w:highlight w:val="white"/>
        </w:rPr>
        <w:t xml:space="preserve"> y completar la información. Esto permitiría conocer si los recursos fueron realmente utilizados para reducir los riesgos y mejorar las condiciones de seguridad e infraestructura de los planteles educativos</w:t>
      </w:r>
      <w:r w:rsidRPr="00ED16E8">
        <w:rPr>
          <w:color w:val="595959"/>
        </w:rPr>
        <w:t>; finalmente, es ahí en donde</w:t>
      </w:r>
      <w:r w:rsidR="00C907FB" w:rsidRPr="00ED16E8">
        <w:rPr>
          <w:color w:val="595959"/>
        </w:rPr>
        <w:t xml:space="preserve"> la población más joven y vulnerable</w:t>
      </w:r>
      <w:r w:rsidRPr="00ED16E8">
        <w:rPr>
          <w:color w:val="595959"/>
        </w:rPr>
        <w:t xml:space="preserve"> permanece una proporción significativa de su tiempo</w:t>
      </w:r>
      <w:r w:rsidR="00C907FB" w:rsidRPr="00ED16E8">
        <w:rPr>
          <w:color w:val="595959"/>
        </w:rPr>
        <w:t>.</w:t>
      </w:r>
    </w:p>
    <w:p w14:paraId="657635D7" w14:textId="77777777" w:rsidR="008A34AE" w:rsidRDefault="00F35562" w:rsidP="00F80677">
      <w:pPr>
        <w:pStyle w:val="Ttulo2"/>
        <w:rPr>
          <w:highlight w:val="white"/>
        </w:rPr>
      </w:pPr>
      <w:bookmarkStart w:id="4" w:name="_Toc524361283"/>
      <w:r>
        <w:rPr>
          <w:highlight w:val="white"/>
        </w:rPr>
        <w:lastRenderedPageBreak/>
        <w:t>Sector Vivienda</w:t>
      </w:r>
      <w:bookmarkEnd w:id="4"/>
    </w:p>
    <w:p w14:paraId="02FC7561" w14:textId="17FF5D03" w:rsidR="008A34AE" w:rsidRDefault="00D8672D" w:rsidP="00F35562">
      <w:pPr>
        <w:contextualSpacing w:val="0"/>
        <w:jc w:val="both"/>
        <w:rPr>
          <w:color w:val="595959"/>
          <w:highlight w:val="white"/>
        </w:rPr>
      </w:pPr>
      <w:r>
        <w:rPr>
          <w:color w:val="595959"/>
          <w:highlight w:val="white"/>
        </w:rPr>
        <w:t>L</w:t>
      </w:r>
      <w:r w:rsidR="00F35562">
        <w:rPr>
          <w:color w:val="595959"/>
          <w:highlight w:val="white"/>
        </w:rPr>
        <w:t xml:space="preserve">a base de datos de apoyos elaborada por el Banco del Ahorro Nacional y Servicios Financieros </w:t>
      </w:r>
      <w:r w:rsidR="00F35562">
        <w:rPr>
          <w:color w:val="595959"/>
          <w:sz w:val="20"/>
          <w:szCs w:val="20"/>
          <w:highlight w:val="white"/>
        </w:rPr>
        <w:t>(BANSEFI)</w:t>
      </w:r>
      <w:r>
        <w:rPr>
          <w:color w:val="595959"/>
          <w:highlight w:val="white"/>
        </w:rPr>
        <w:t>,</w:t>
      </w:r>
      <w:r w:rsidR="00F35562">
        <w:rPr>
          <w:color w:val="595959"/>
          <w:highlight w:val="white"/>
        </w:rPr>
        <w:t xml:space="preserve"> cuya última a</w:t>
      </w:r>
      <w:r w:rsidR="006A2717">
        <w:rPr>
          <w:color w:val="595959"/>
          <w:highlight w:val="white"/>
        </w:rPr>
        <w:t>ctual</w:t>
      </w:r>
      <w:r w:rsidR="003C3609">
        <w:rPr>
          <w:color w:val="595959"/>
          <w:highlight w:val="white"/>
        </w:rPr>
        <w:t>ización se realizó en julio</w:t>
      </w:r>
      <w:r w:rsidR="003C3609">
        <w:rPr>
          <w:rStyle w:val="Refdenotaalpie"/>
          <w:color w:val="595959"/>
          <w:highlight w:val="white"/>
        </w:rPr>
        <w:footnoteReference w:id="4"/>
      </w:r>
      <w:r w:rsidR="00F35562">
        <w:rPr>
          <w:color w:val="595959"/>
          <w:highlight w:val="white"/>
        </w:rPr>
        <w:t xml:space="preserve"> de 2018, indicó la afectación de 191,227</w:t>
      </w:r>
      <w:r w:rsidR="00173194">
        <w:rPr>
          <w:color w:val="595959"/>
          <w:highlight w:val="white"/>
        </w:rPr>
        <w:t xml:space="preserve"> </w:t>
      </w:r>
      <w:r w:rsidR="00F35562">
        <w:rPr>
          <w:color w:val="595959"/>
          <w:highlight w:val="white"/>
        </w:rPr>
        <w:t xml:space="preserve">viviendas. De </w:t>
      </w:r>
      <w:r>
        <w:rPr>
          <w:color w:val="595959"/>
          <w:highlight w:val="white"/>
        </w:rPr>
        <w:t>las cuales</w:t>
      </w:r>
      <w:r w:rsidR="00F35562">
        <w:rPr>
          <w:color w:val="595959"/>
          <w:highlight w:val="white"/>
        </w:rPr>
        <w:t>, 66% (126,970) se report</w:t>
      </w:r>
      <w:r>
        <w:rPr>
          <w:color w:val="595959"/>
          <w:highlight w:val="white"/>
        </w:rPr>
        <w:t>ó</w:t>
      </w:r>
      <w:r w:rsidR="00F35562">
        <w:rPr>
          <w:color w:val="595959"/>
          <w:highlight w:val="white"/>
        </w:rPr>
        <w:t xml:space="preserve"> con daño parcial y </w:t>
      </w:r>
      <w:r w:rsidR="00053F77">
        <w:rPr>
          <w:color w:val="595959"/>
          <w:highlight w:val="white"/>
        </w:rPr>
        <w:t xml:space="preserve">70% (122,079) </w:t>
      </w:r>
      <w:r w:rsidR="00F35562">
        <w:rPr>
          <w:color w:val="595959"/>
          <w:highlight w:val="white"/>
        </w:rPr>
        <w:t xml:space="preserve">34% (64,257) como pérdida total. </w:t>
      </w:r>
    </w:p>
    <w:p w14:paraId="2A2FB433" w14:textId="77777777" w:rsidR="008A34AE" w:rsidRDefault="00F35562">
      <w:pPr>
        <w:contextualSpacing w:val="0"/>
        <w:jc w:val="both"/>
        <w:rPr>
          <w:color w:val="595959"/>
        </w:rPr>
      </w:pPr>
      <w:r>
        <w:rPr>
          <w:color w:val="595959"/>
          <w:highlight w:val="white"/>
        </w:rPr>
        <w:tab/>
        <w:t>Como muestra la tabla</w:t>
      </w:r>
      <w:r>
        <w:rPr>
          <w:color w:val="595959"/>
        </w:rPr>
        <w:t xml:space="preserve"> 3, Oaxaca, Chiapas y Puebla concentran 86% de las viviendas con daño parcial, y 79% de las viviendas con pérdida total. Al respecto, es importante indicar que estos son los datos reportados en las plataformas oficiales y no es posible afirmar que estén consolidados y contengan el censo de toda la población afectada, en todas las localidades y comunidades.</w:t>
      </w:r>
    </w:p>
    <w:p w14:paraId="0320D795" w14:textId="77777777" w:rsidR="008A34AE" w:rsidRDefault="00F35562">
      <w:pPr>
        <w:contextualSpacing w:val="0"/>
        <w:jc w:val="both"/>
        <w:rPr>
          <w:color w:val="595959"/>
        </w:rPr>
      </w:pPr>
      <w:r>
        <w:rPr>
          <w:color w:val="595959"/>
        </w:rPr>
        <w:tab/>
        <w:t xml:space="preserve">En este sentido, si se analiza la tabla con datos del </w:t>
      </w:r>
      <w:r>
        <w:rPr>
          <w:color w:val="595959"/>
          <w:sz w:val="20"/>
          <w:szCs w:val="20"/>
        </w:rPr>
        <w:t>BANSEFI</w:t>
      </w:r>
      <w:r>
        <w:rPr>
          <w:color w:val="595959"/>
        </w:rPr>
        <w:t xml:space="preserve"> y se contrasta con la tabla 4, que integra datos de la </w:t>
      </w:r>
      <w:r>
        <w:rPr>
          <w:color w:val="595959"/>
          <w:sz w:val="20"/>
          <w:szCs w:val="20"/>
        </w:rPr>
        <w:t>SEDATU</w:t>
      </w:r>
      <w:r>
        <w:rPr>
          <w:color w:val="595959"/>
        </w:rPr>
        <w:t>, se</w:t>
      </w:r>
      <w:r w:rsidR="00C907FB">
        <w:rPr>
          <w:color w:val="595959"/>
        </w:rPr>
        <w:t xml:space="preserve"> observa</w:t>
      </w:r>
      <w:r>
        <w:rPr>
          <w:color w:val="595959"/>
        </w:rPr>
        <w:t xml:space="preserve"> que existen inconsistencias en la información, principalmente en las dos entidades con mayor cantidad de viviendas dañadas (Oaxaca y Chiapas). Además, en el estadístico de la </w:t>
      </w:r>
      <w:r>
        <w:rPr>
          <w:color w:val="595959"/>
          <w:sz w:val="20"/>
          <w:szCs w:val="20"/>
        </w:rPr>
        <w:t>SEDATU</w:t>
      </w:r>
      <w:r>
        <w:rPr>
          <w:color w:val="595959"/>
        </w:rPr>
        <w:t xml:space="preserve">, para el estado de Veracruz no se reportan datos. Lo anterior, aun cuando podría estar explicado por el estatus de las actualizaciones, no deja de ser preocupante en términos de coordinación interinstitucional para la generación y publicación de información oportuna, clara y confiable. </w:t>
      </w:r>
    </w:p>
    <w:p w14:paraId="1DFB2B73" w14:textId="77777777" w:rsidR="008A34AE" w:rsidRDefault="008A34AE">
      <w:pPr>
        <w:contextualSpacing w:val="0"/>
        <w:jc w:val="both"/>
        <w:rPr>
          <w:color w:val="595959"/>
        </w:rPr>
      </w:pPr>
    </w:p>
    <w:p w14:paraId="47BE96B9" w14:textId="77777777" w:rsidR="008A34AE" w:rsidRDefault="00F35562">
      <w:pPr>
        <w:contextualSpacing w:val="0"/>
        <w:jc w:val="center"/>
        <w:rPr>
          <w:b/>
          <w:color w:val="595959"/>
          <w:highlight w:val="white"/>
        </w:rPr>
      </w:pPr>
      <w:r>
        <w:rPr>
          <w:b/>
          <w:color w:val="595959"/>
          <w:highlight w:val="white"/>
        </w:rPr>
        <w:t>Tabl</w:t>
      </w:r>
      <w:r>
        <w:rPr>
          <w:b/>
          <w:color w:val="595959"/>
        </w:rPr>
        <w:t>a 3.</w:t>
      </w:r>
      <w:r>
        <w:rPr>
          <w:b/>
          <w:color w:val="595959"/>
          <w:highlight w:val="white"/>
        </w:rPr>
        <w:t xml:space="preserve"> Afectaciones a viviendas por entidad federativa, BANSEFI </w:t>
      </w:r>
    </w:p>
    <w:tbl>
      <w:tblPr>
        <w:tblStyle w:val="a1"/>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4"/>
        <w:gridCol w:w="1505"/>
        <w:gridCol w:w="1505"/>
        <w:gridCol w:w="1505"/>
        <w:gridCol w:w="1505"/>
        <w:gridCol w:w="1505"/>
      </w:tblGrid>
      <w:tr w:rsidR="008A34AE" w14:paraId="70133B21" w14:textId="77777777" w:rsidTr="00F35562">
        <w:trPr>
          <w:tblHeader/>
        </w:trPr>
        <w:tc>
          <w:tcPr>
            <w:tcW w:w="1504" w:type="dxa"/>
            <w:shd w:val="clear" w:color="auto" w:fill="205968"/>
            <w:tcMar>
              <w:top w:w="100" w:type="dxa"/>
              <w:left w:w="100" w:type="dxa"/>
              <w:bottom w:w="100" w:type="dxa"/>
              <w:right w:w="100" w:type="dxa"/>
            </w:tcMar>
            <w:vAlign w:val="center"/>
          </w:tcPr>
          <w:p w14:paraId="75A90DAC" w14:textId="77777777" w:rsidR="008A34AE" w:rsidRDefault="00F35562">
            <w:pPr>
              <w:widowControl w:val="0"/>
              <w:pBdr>
                <w:top w:val="nil"/>
                <w:left w:val="nil"/>
                <w:bottom w:val="nil"/>
                <w:right w:val="nil"/>
                <w:between w:val="nil"/>
              </w:pBdr>
              <w:spacing w:line="240" w:lineRule="auto"/>
              <w:contextualSpacing w:val="0"/>
              <w:jc w:val="center"/>
              <w:rPr>
                <w:b/>
                <w:color w:val="FFFFFF"/>
                <w:sz w:val="20"/>
                <w:szCs w:val="20"/>
              </w:rPr>
            </w:pPr>
            <w:r>
              <w:rPr>
                <w:b/>
                <w:color w:val="FFFFFF"/>
                <w:sz w:val="20"/>
                <w:szCs w:val="20"/>
              </w:rPr>
              <w:t>Entidad federativa</w:t>
            </w:r>
          </w:p>
        </w:tc>
        <w:tc>
          <w:tcPr>
            <w:tcW w:w="1505" w:type="dxa"/>
            <w:shd w:val="clear" w:color="auto" w:fill="205968"/>
            <w:tcMar>
              <w:top w:w="100" w:type="dxa"/>
              <w:left w:w="100" w:type="dxa"/>
              <w:bottom w:w="100" w:type="dxa"/>
              <w:right w:w="100" w:type="dxa"/>
            </w:tcMar>
            <w:vAlign w:val="center"/>
          </w:tcPr>
          <w:p w14:paraId="717E70D9" w14:textId="77777777" w:rsidR="008A34AE" w:rsidRDefault="00F35562">
            <w:pPr>
              <w:widowControl w:val="0"/>
              <w:pBdr>
                <w:top w:val="nil"/>
                <w:left w:val="nil"/>
                <w:bottom w:val="nil"/>
                <w:right w:val="nil"/>
                <w:between w:val="nil"/>
              </w:pBdr>
              <w:spacing w:line="240" w:lineRule="auto"/>
              <w:contextualSpacing w:val="0"/>
              <w:jc w:val="center"/>
              <w:rPr>
                <w:b/>
                <w:color w:val="FFFFFF"/>
                <w:sz w:val="20"/>
                <w:szCs w:val="20"/>
              </w:rPr>
            </w:pPr>
            <w:r>
              <w:rPr>
                <w:b/>
                <w:color w:val="FFFFFF"/>
                <w:sz w:val="20"/>
                <w:szCs w:val="20"/>
              </w:rPr>
              <w:t>Total</w:t>
            </w:r>
          </w:p>
        </w:tc>
        <w:tc>
          <w:tcPr>
            <w:tcW w:w="1505" w:type="dxa"/>
            <w:shd w:val="clear" w:color="auto" w:fill="205968"/>
            <w:tcMar>
              <w:top w:w="100" w:type="dxa"/>
              <w:left w:w="100" w:type="dxa"/>
              <w:bottom w:w="100" w:type="dxa"/>
              <w:right w:w="100" w:type="dxa"/>
            </w:tcMar>
            <w:vAlign w:val="center"/>
          </w:tcPr>
          <w:p w14:paraId="1ABC2E4B" w14:textId="77777777" w:rsidR="008A34AE" w:rsidRDefault="00F35562">
            <w:pPr>
              <w:widowControl w:val="0"/>
              <w:pBdr>
                <w:top w:val="nil"/>
                <w:left w:val="nil"/>
                <w:bottom w:val="nil"/>
                <w:right w:val="nil"/>
                <w:between w:val="nil"/>
              </w:pBdr>
              <w:spacing w:line="240" w:lineRule="auto"/>
              <w:contextualSpacing w:val="0"/>
              <w:jc w:val="center"/>
              <w:rPr>
                <w:b/>
                <w:color w:val="FFFFFF"/>
                <w:sz w:val="20"/>
                <w:szCs w:val="20"/>
              </w:rPr>
            </w:pPr>
            <w:r>
              <w:rPr>
                <w:b/>
                <w:color w:val="FFFFFF"/>
                <w:sz w:val="20"/>
                <w:szCs w:val="20"/>
              </w:rPr>
              <w:t>Daño parcial</w:t>
            </w:r>
          </w:p>
          <w:p w14:paraId="4048B7A8" w14:textId="77777777" w:rsidR="008A34AE" w:rsidRDefault="00F35562">
            <w:pPr>
              <w:widowControl w:val="0"/>
              <w:pBdr>
                <w:top w:val="nil"/>
                <w:left w:val="nil"/>
                <w:bottom w:val="nil"/>
                <w:right w:val="nil"/>
                <w:between w:val="nil"/>
              </w:pBdr>
              <w:spacing w:line="240" w:lineRule="auto"/>
              <w:contextualSpacing w:val="0"/>
              <w:jc w:val="center"/>
              <w:rPr>
                <w:b/>
                <w:color w:val="FFFFFF"/>
                <w:sz w:val="20"/>
                <w:szCs w:val="20"/>
              </w:rPr>
            </w:pPr>
            <w:r>
              <w:rPr>
                <w:b/>
                <w:color w:val="FFFFFF"/>
                <w:sz w:val="20"/>
                <w:szCs w:val="20"/>
              </w:rPr>
              <w:t>(número de viviendas)</w:t>
            </w:r>
          </w:p>
        </w:tc>
        <w:tc>
          <w:tcPr>
            <w:tcW w:w="1505" w:type="dxa"/>
            <w:shd w:val="clear" w:color="auto" w:fill="205968"/>
            <w:tcMar>
              <w:top w:w="100" w:type="dxa"/>
              <w:left w:w="100" w:type="dxa"/>
              <w:bottom w:w="100" w:type="dxa"/>
              <w:right w:w="100" w:type="dxa"/>
            </w:tcMar>
            <w:vAlign w:val="center"/>
          </w:tcPr>
          <w:p w14:paraId="40BA7BA7" w14:textId="77777777" w:rsidR="008A34AE" w:rsidRDefault="00F35562">
            <w:pPr>
              <w:widowControl w:val="0"/>
              <w:pBdr>
                <w:top w:val="nil"/>
                <w:left w:val="nil"/>
                <w:bottom w:val="nil"/>
                <w:right w:val="nil"/>
                <w:between w:val="nil"/>
              </w:pBdr>
              <w:spacing w:line="240" w:lineRule="auto"/>
              <w:contextualSpacing w:val="0"/>
              <w:jc w:val="center"/>
              <w:rPr>
                <w:b/>
                <w:color w:val="FFFFFF"/>
                <w:sz w:val="20"/>
                <w:szCs w:val="20"/>
              </w:rPr>
            </w:pPr>
            <w:r>
              <w:rPr>
                <w:b/>
                <w:color w:val="FFFFFF"/>
                <w:sz w:val="20"/>
                <w:szCs w:val="20"/>
              </w:rPr>
              <w:t>%</w:t>
            </w:r>
          </w:p>
        </w:tc>
        <w:tc>
          <w:tcPr>
            <w:tcW w:w="1505" w:type="dxa"/>
            <w:shd w:val="clear" w:color="auto" w:fill="205968"/>
            <w:tcMar>
              <w:top w:w="100" w:type="dxa"/>
              <w:left w:w="100" w:type="dxa"/>
              <w:bottom w:w="100" w:type="dxa"/>
              <w:right w:w="100" w:type="dxa"/>
            </w:tcMar>
            <w:vAlign w:val="center"/>
          </w:tcPr>
          <w:p w14:paraId="4D26846B" w14:textId="77777777" w:rsidR="008A34AE" w:rsidRDefault="00F35562">
            <w:pPr>
              <w:widowControl w:val="0"/>
              <w:pBdr>
                <w:top w:val="nil"/>
                <w:left w:val="nil"/>
                <w:bottom w:val="nil"/>
                <w:right w:val="nil"/>
                <w:between w:val="nil"/>
              </w:pBdr>
              <w:spacing w:line="240" w:lineRule="auto"/>
              <w:contextualSpacing w:val="0"/>
              <w:jc w:val="center"/>
              <w:rPr>
                <w:b/>
                <w:color w:val="FFFFFF"/>
                <w:sz w:val="20"/>
                <w:szCs w:val="20"/>
              </w:rPr>
            </w:pPr>
            <w:r>
              <w:rPr>
                <w:b/>
                <w:color w:val="FFFFFF"/>
                <w:sz w:val="20"/>
                <w:szCs w:val="20"/>
              </w:rPr>
              <w:t>Pérdida total</w:t>
            </w:r>
          </w:p>
          <w:p w14:paraId="59B2D30A" w14:textId="77777777" w:rsidR="008A34AE" w:rsidRDefault="00F35562">
            <w:pPr>
              <w:widowControl w:val="0"/>
              <w:spacing w:line="240" w:lineRule="auto"/>
              <w:contextualSpacing w:val="0"/>
              <w:jc w:val="center"/>
              <w:rPr>
                <w:b/>
                <w:color w:val="FFFFFF"/>
                <w:sz w:val="20"/>
                <w:szCs w:val="20"/>
              </w:rPr>
            </w:pPr>
            <w:r>
              <w:rPr>
                <w:b/>
                <w:color w:val="FFFFFF"/>
                <w:sz w:val="20"/>
                <w:szCs w:val="20"/>
              </w:rPr>
              <w:t>(número de viviendas)</w:t>
            </w:r>
          </w:p>
        </w:tc>
        <w:tc>
          <w:tcPr>
            <w:tcW w:w="1505" w:type="dxa"/>
            <w:shd w:val="clear" w:color="auto" w:fill="205968"/>
            <w:tcMar>
              <w:top w:w="100" w:type="dxa"/>
              <w:left w:w="100" w:type="dxa"/>
              <w:bottom w:w="100" w:type="dxa"/>
              <w:right w:w="100" w:type="dxa"/>
            </w:tcMar>
            <w:vAlign w:val="center"/>
          </w:tcPr>
          <w:p w14:paraId="3C56FC20" w14:textId="77777777" w:rsidR="008A34AE" w:rsidRDefault="00F35562">
            <w:pPr>
              <w:widowControl w:val="0"/>
              <w:pBdr>
                <w:top w:val="nil"/>
                <w:left w:val="nil"/>
                <w:bottom w:val="nil"/>
                <w:right w:val="nil"/>
                <w:between w:val="nil"/>
              </w:pBdr>
              <w:spacing w:line="240" w:lineRule="auto"/>
              <w:contextualSpacing w:val="0"/>
              <w:jc w:val="center"/>
              <w:rPr>
                <w:b/>
                <w:color w:val="FFFFFF"/>
                <w:sz w:val="20"/>
                <w:szCs w:val="20"/>
              </w:rPr>
            </w:pPr>
            <w:r>
              <w:rPr>
                <w:b/>
                <w:color w:val="FFFFFF"/>
                <w:sz w:val="20"/>
                <w:szCs w:val="20"/>
              </w:rPr>
              <w:t>%</w:t>
            </w:r>
          </w:p>
        </w:tc>
      </w:tr>
      <w:tr w:rsidR="008A34AE" w14:paraId="5D935B27" w14:textId="77777777">
        <w:tc>
          <w:tcPr>
            <w:tcW w:w="1504" w:type="dxa"/>
            <w:shd w:val="clear" w:color="auto" w:fill="31849B"/>
            <w:tcMar>
              <w:top w:w="100" w:type="dxa"/>
              <w:left w:w="100" w:type="dxa"/>
              <w:bottom w:w="100" w:type="dxa"/>
              <w:right w:w="100" w:type="dxa"/>
            </w:tcMar>
            <w:vAlign w:val="center"/>
          </w:tcPr>
          <w:p w14:paraId="2CD04339" w14:textId="77777777" w:rsidR="008A34AE" w:rsidRDefault="00F35562">
            <w:pPr>
              <w:widowControl w:val="0"/>
              <w:spacing w:line="240" w:lineRule="auto"/>
              <w:contextualSpacing w:val="0"/>
              <w:rPr>
                <w:color w:val="FFFFFF"/>
                <w:sz w:val="20"/>
                <w:szCs w:val="20"/>
              </w:rPr>
            </w:pPr>
            <w:r>
              <w:rPr>
                <w:color w:val="FFFFFF"/>
                <w:sz w:val="20"/>
                <w:szCs w:val="20"/>
              </w:rPr>
              <w:t>Oaxaca</w:t>
            </w:r>
          </w:p>
        </w:tc>
        <w:tc>
          <w:tcPr>
            <w:tcW w:w="1505" w:type="dxa"/>
            <w:shd w:val="clear" w:color="auto" w:fill="93CDDC"/>
            <w:tcMar>
              <w:top w:w="100" w:type="dxa"/>
              <w:left w:w="100" w:type="dxa"/>
              <w:bottom w:w="100" w:type="dxa"/>
              <w:right w:w="100" w:type="dxa"/>
            </w:tcMar>
            <w:vAlign w:val="center"/>
          </w:tcPr>
          <w:p w14:paraId="4CAF9A47" w14:textId="77777777" w:rsidR="008A34AE" w:rsidRDefault="00F35562">
            <w:pPr>
              <w:widowControl w:val="0"/>
              <w:spacing w:line="240" w:lineRule="auto"/>
              <w:contextualSpacing w:val="0"/>
              <w:jc w:val="center"/>
              <w:rPr>
                <w:color w:val="205968"/>
                <w:sz w:val="20"/>
                <w:szCs w:val="20"/>
              </w:rPr>
            </w:pPr>
            <w:r>
              <w:rPr>
                <w:color w:val="205968"/>
                <w:sz w:val="20"/>
                <w:szCs w:val="20"/>
              </w:rPr>
              <w:t>67,181</w:t>
            </w:r>
          </w:p>
        </w:tc>
        <w:tc>
          <w:tcPr>
            <w:tcW w:w="1505" w:type="dxa"/>
            <w:shd w:val="clear" w:color="auto" w:fill="93CDDC"/>
            <w:tcMar>
              <w:top w:w="100" w:type="dxa"/>
              <w:left w:w="100" w:type="dxa"/>
              <w:bottom w:w="100" w:type="dxa"/>
              <w:right w:w="100" w:type="dxa"/>
            </w:tcMar>
            <w:vAlign w:val="center"/>
          </w:tcPr>
          <w:p w14:paraId="07BE74F5" w14:textId="77777777" w:rsidR="008A34AE" w:rsidRDefault="00F35562">
            <w:pPr>
              <w:widowControl w:val="0"/>
              <w:spacing w:line="240" w:lineRule="auto"/>
              <w:contextualSpacing w:val="0"/>
              <w:jc w:val="center"/>
              <w:rPr>
                <w:color w:val="205968"/>
                <w:sz w:val="20"/>
                <w:szCs w:val="20"/>
              </w:rPr>
            </w:pPr>
            <w:r>
              <w:rPr>
                <w:color w:val="205968"/>
                <w:sz w:val="20"/>
                <w:szCs w:val="20"/>
              </w:rPr>
              <w:t>40,847</w:t>
            </w:r>
          </w:p>
        </w:tc>
        <w:tc>
          <w:tcPr>
            <w:tcW w:w="1505" w:type="dxa"/>
            <w:shd w:val="clear" w:color="auto" w:fill="93CDDC"/>
            <w:tcMar>
              <w:top w:w="100" w:type="dxa"/>
              <w:left w:w="100" w:type="dxa"/>
              <w:bottom w:w="100" w:type="dxa"/>
              <w:right w:w="100" w:type="dxa"/>
            </w:tcMar>
            <w:vAlign w:val="center"/>
          </w:tcPr>
          <w:p w14:paraId="30998258" w14:textId="77777777" w:rsidR="008A34AE" w:rsidRDefault="00F35562">
            <w:pPr>
              <w:widowControl w:val="0"/>
              <w:spacing w:line="240" w:lineRule="auto"/>
              <w:contextualSpacing w:val="0"/>
              <w:jc w:val="center"/>
              <w:rPr>
                <w:color w:val="205968"/>
                <w:sz w:val="20"/>
                <w:szCs w:val="20"/>
              </w:rPr>
            </w:pPr>
            <w:r>
              <w:rPr>
                <w:color w:val="205968"/>
                <w:sz w:val="20"/>
                <w:szCs w:val="20"/>
              </w:rPr>
              <w:t>61</w:t>
            </w:r>
          </w:p>
        </w:tc>
        <w:tc>
          <w:tcPr>
            <w:tcW w:w="1505" w:type="dxa"/>
            <w:shd w:val="clear" w:color="auto" w:fill="93CDDC"/>
            <w:tcMar>
              <w:top w:w="100" w:type="dxa"/>
              <w:left w:w="100" w:type="dxa"/>
              <w:bottom w:w="100" w:type="dxa"/>
              <w:right w:w="100" w:type="dxa"/>
            </w:tcMar>
            <w:vAlign w:val="center"/>
          </w:tcPr>
          <w:p w14:paraId="0C2A2B4F" w14:textId="77777777" w:rsidR="008A34AE" w:rsidRDefault="00F35562">
            <w:pPr>
              <w:widowControl w:val="0"/>
              <w:spacing w:line="240" w:lineRule="auto"/>
              <w:contextualSpacing w:val="0"/>
              <w:jc w:val="center"/>
              <w:rPr>
                <w:color w:val="205968"/>
                <w:sz w:val="20"/>
                <w:szCs w:val="20"/>
              </w:rPr>
            </w:pPr>
            <w:r>
              <w:rPr>
                <w:color w:val="205968"/>
                <w:sz w:val="20"/>
                <w:szCs w:val="20"/>
              </w:rPr>
              <w:t>26,334</w:t>
            </w:r>
          </w:p>
        </w:tc>
        <w:tc>
          <w:tcPr>
            <w:tcW w:w="1505" w:type="dxa"/>
            <w:shd w:val="clear" w:color="auto" w:fill="93CDDC"/>
            <w:tcMar>
              <w:top w:w="100" w:type="dxa"/>
              <w:left w:w="100" w:type="dxa"/>
              <w:bottom w:w="100" w:type="dxa"/>
              <w:right w:w="100" w:type="dxa"/>
            </w:tcMar>
            <w:vAlign w:val="center"/>
          </w:tcPr>
          <w:p w14:paraId="48CC3829" w14:textId="77777777" w:rsidR="008A34AE" w:rsidRDefault="00F35562">
            <w:pPr>
              <w:widowControl w:val="0"/>
              <w:spacing w:line="240" w:lineRule="auto"/>
              <w:contextualSpacing w:val="0"/>
              <w:jc w:val="center"/>
              <w:rPr>
                <w:color w:val="205968"/>
                <w:sz w:val="20"/>
                <w:szCs w:val="20"/>
              </w:rPr>
            </w:pPr>
            <w:r>
              <w:rPr>
                <w:color w:val="205968"/>
                <w:sz w:val="20"/>
                <w:szCs w:val="20"/>
              </w:rPr>
              <w:t>39</w:t>
            </w:r>
          </w:p>
        </w:tc>
      </w:tr>
      <w:tr w:rsidR="008A34AE" w14:paraId="4567294A" w14:textId="77777777">
        <w:tc>
          <w:tcPr>
            <w:tcW w:w="1504" w:type="dxa"/>
            <w:shd w:val="clear" w:color="auto" w:fill="31849B"/>
            <w:tcMar>
              <w:top w:w="100" w:type="dxa"/>
              <w:left w:w="100" w:type="dxa"/>
              <w:bottom w:w="100" w:type="dxa"/>
              <w:right w:w="100" w:type="dxa"/>
            </w:tcMar>
            <w:vAlign w:val="center"/>
          </w:tcPr>
          <w:p w14:paraId="791CD456" w14:textId="77777777" w:rsidR="008A34AE" w:rsidRDefault="00F35562">
            <w:pPr>
              <w:widowControl w:val="0"/>
              <w:pBdr>
                <w:top w:val="nil"/>
                <w:left w:val="nil"/>
                <w:bottom w:val="nil"/>
                <w:right w:val="nil"/>
                <w:between w:val="nil"/>
              </w:pBdr>
              <w:spacing w:line="240" w:lineRule="auto"/>
              <w:contextualSpacing w:val="0"/>
              <w:rPr>
                <w:color w:val="FFFFFF"/>
                <w:sz w:val="20"/>
                <w:szCs w:val="20"/>
              </w:rPr>
            </w:pPr>
            <w:r>
              <w:rPr>
                <w:color w:val="FFFFFF"/>
                <w:sz w:val="20"/>
                <w:szCs w:val="20"/>
              </w:rPr>
              <w:t>Chiapas</w:t>
            </w:r>
          </w:p>
        </w:tc>
        <w:tc>
          <w:tcPr>
            <w:tcW w:w="1505" w:type="dxa"/>
            <w:shd w:val="clear" w:color="auto" w:fill="93CDDC"/>
            <w:tcMar>
              <w:top w:w="100" w:type="dxa"/>
              <w:left w:w="100" w:type="dxa"/>
              <w:bottom w:w="100" w:type="dxa"/>
              <w:right w:w="100" w:type="dxa"/>
            </w:tcMar>
            <w:vAlign w:val="center"/>
          </w:tcPr>
          <w:p w14:paraId="620ADA08"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63,840</w:t>
            </w:r>
          </w:p>
        </w:tc>
        <w:tc>
          <w:tcPr>
            <w:tcW w:w="1505" w:type="dxa"/>
            <w:shd w:val="clear" w:color="auto" w:fill="93CDDC"/>
            <w:tcMar>
              <w:top w:w="100" w:type="dxa"/>
              <w:left w:w="100" w:type="dxa"/>
              <w:bottom w:w="100" w:type="dxa"/>
              <w:right w:w="100" w:type="dxa"/>
            </w:tcMar>
            <w:vAlign w:val="center"/>
          </w:tcPr>
          <w:p w14:paraId="555B493C"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45,305</w:t>
            </w:r>
          </w:p>
        </w:tc>
        <w:tc>
          <w:tcPr>
            <w:tcW w:w="1505" w:type="dxa"/>
            <w:shd w:val="clear" w:color="auto" w:fill="93CDDC"/>
            <w:tcMar>
              <w:top w:w="100" w:type="dxa"/>
              <w:left w:w="100" w:type="dxa"/>
              <w:bottom w:w="100" w:type="dxa"/>
              <w:right w:w="100" w:type="dxa"/>
            </w:tcMar>
            <w:vAlign w:val="center"/>
          </w:tcPr>
          <w:p w14:paraId="2A1564F4"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71</w:t>
            </w:r>
          </w:p>
        </w:tc>
        <w:tc>
          <w:tcPr>
            <w:tcW w:w="1505" w:type="dxa"/>
            <w:shd w:val="clear" w:color="auto" w:fill="93CDDC"/>
            <w:tcMar>
              <w:top w:w="100" w:type="dxa"/>
              <w:left w:w="100" w:type="dxa"/>
              <w:bottom w:w="100" w:type="dxa"/>
              <w:right w:w="100" w:type="dxa"/>
            </w:tcMar>
            <w:vAlign w:val="center"/>
          </w:tcPr>
          <w:p w14:paraId="11CEBC89"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18,535</w:t>
            </w:r>
          </w:p>
        </w:tc>
        <w:tc>
          <w:tcPr>
            <w:tcW w:w="1505" w:type="dxa"/>
            <w:shd w:val="clear" w:color="auto" w:fill="93CDDC"/>
            <w:tcMar>
              <w:top w:w="100" w:type="dxa"/>
              <w:left w:w="100" w:type="dxa"/>
              <w:bottom w:w="100" w:type="dxa"/>
              <w:right w:w="100" w:type="dxa"/>
            </w:tcMar>
            <w:vAlign w:val="center"/>
          </w:tcPr>
          <w:p w14:paraId="432389B8"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29</w:t>
            </w:r>
          </w:p>
        </w:tc>
      </w:tr>
      <w:tr w:rsidR="008A34AE" w14:paraId="6B609A72" w14:textId="77777777">
        <w:tc>
          <w:tcPr>
            <w:tcW w:w="1504" w:type="dxa"/>
            <w:shd w:val="clear" w:color="auto" w:fill="31849B"/>
            <w:tcMar>
              <w:top w:w="100" w:type="dxa"/>
              <w:left w:w="100" w:type="dxa"/>
              <w:bottom w:w="100" w:type="dxa"/>
              <w:right w:w="100" w:type="dxa"/>
            </w:tcMar>
            <w:vAlign w:val="center"/>
          </w:tcPr>
          <w:p w14:paraId="21A7E6BC" w14:textId="77777777" w:rsidR="008A34AE" w:rsidRDefault="00F35562">
            <w:pPr>
              <w:widowControl w:val="0"/>
              <w:spacing w:line="240" w:lineRule="auto"/>
              <w:contextualSpacing w:val="0"/>
              <w:rPr>
                <w:color w:val="FFFFFF"/>
                <w:sz w:val="20"/>
                <w:szCs w:val="20"/>
              </w:rPr>
            </w:pPr>
            <w:r>
              <w:rPr>
                <w:color w:val="FFFFFF"/>
                <w:sz w:val="20"/>
                <w:szCs w:val="20"/>
              </w:rPr>
              <w:t>Puebla</w:t>
            </w:r>
          </w:p>
        </w:tc>
        <w:tc>
          <w:tcPr>
            <w:tcW w:w="1505" w:type="dxa"/>
            <w:shd w:val="clear" w:color="auto" w:fill="93CDDC"/>
            <w:tcMar>
              <w:top w:w="100" w:type="dxa"/>
              <w:left w:w="100" w:type="dxa"/>
              <w:bottom w:w="100" w:type="dxa"/>
              <w:right w:w="100" w:type="dxa"/>
            </w:tcMar>
            <w:vAlign w:val="center"/>
          </w:tcPr>
          <w:p w14:paraId="414B6E86" w14:textId="77777777" w:rsidR="008A34AE" w:rsidRDefault="00F35562">
            <w:pPr>
              <w:widowControl w:val="0"/>
              <w:spacing w:line="240" w:lineRule="auto"/>
              <w:contextualSpacing w:val="0"/>
              <w:jc w:val="center"/>
              <w:rPr>
                <w:color w:val="205968"/>
                <w:sz w:val="20"/>
                <w:szCs w:val="20"/>
              </w:rPr>
            </w:pPr>
            <w:r>
              <w:rPr>
                <w:color w:val="205968"/>
                <w:sz w:val="20"/>
                <w:szCs w:val="20"/>
              </w:rPr>
              <w:t>28,344</w:t>
            </w:r>
          </w:p>
        </w:tc>
        <w:tc>
          <w:tcPr>
            <w:tcW w:w="1505" w:type="dxa"/>
            <w:shd w:val="clear" w:color="auto" w:fill="93CDDC"/>
            <w:tcMar>
              <w:top w:w="100" w:type="dxa"/>
              <w:left w:w="100" w:type="dxa"/>
              <w:bottom w:w="100" w:type="dxa"/>
              <w:right w:w="100" w:type="dxa"/>
            </w:tcMar>
            <w:vAlign w:val="center"/>
          </w:tcPr>
          <w:p w14:paraId="05DBD550" w14:textId="77777777" w:rsidR="008A34AE" w:rsidRDefault="00F35562">
            <w:pPr>
              <w:widowControl w:val="0"/>
              <w:spacing w:line="240" w:lineRule="auto"/>
              <w:contextualSpacing w:val="0"/>
              <w:jc w:val="center"/>
              <w:rPr>
                <w:color w:val="205968"/>
                <w:sz w:val="20"/>
                <w:szCs w:val="20"/>
              </w:rPr>
            </w:pPr>
            <w:r>
              <w:rPr>
                <w:color w:val="205968"/>
                <w:sz w:val="20"/>
                <w:szCs w:val="20"/>
              </w:rPr>
              <w:t>22,705</w:t>
            </w:r>
          </w:p>
        </w:tc>
        <w:tc>
          <w:tcPr>
            <w:tcW w:w="1505" w:type="dxa"/>
            <w:shd w:val="clear" w:color="auto" w:fill="93CDDC"/>
            <w:tcMar>
              <w:top w:w="100" w:type="dxa"/>
              <w:left w:w="100" w:type="dxa"/>
              <w:bottom w:w="100" w:type="dxa"/>
              <w:right w:w="100" w:type="dxa"/>
            </w:tcMar>
            <w:vAlign w:val="center"/>
          </w:tcPr>
          <w:p w14:paraId="5D930E3D" w14:textId="77777777" w:rsidR="008A34AE" w:rsidRDefault="00F35562">
            <w:pPr>
              <w:widowControl w:val="0"/>
              <w:spacing w:line="240" w:lineRule="auto"/>
              <w:contextualSpacing w:val="0"/>
              <w:jc w:val="center"/>
              <w:rPr>
                <w:color w:val="205968"/>
                <w:sz w:val="20"/>
                <w:szCs w:val="20"/>
              </w:rPr>
            </w:pPr>
            <w:r>
              <w:rPr>
                <w:color w:val="205968"/>
                <w:sz w:val="20"/>
                <w:szCs w:val="20"/>
              </w:rPr>
              <w:t>80</w:t>
            </w:r>
          </w:p>
        </w:tc>
        <w:tc>
          <w:tcPr>
            <w:tcW w:w="1505" w:type="dxa"/>
            <w:shd w:val="clear" w:color="auto" w:fill="93CDDC"/>
            <w:tcMar>
              <w:top w:w="100" w:type="dxa"/>
              <w:left w:w="100" w:type="dxa"/>
              <w:bottom w:w="100" w:type="dxa"/>
              <w:right w:w="100" w:type="dxa"/>
            </w:tcMar>
            <w:vAlign w:val="center"/>
          </w:tcPr>
          <w:p w14:paraId="6D96327E" w14:textId="77777777" w:rsidR="008A34AE" w:rsidRDefault="00F35562">
            <w:pPr>
              <w:widowControl w:val="0"/>
              <w:spacing w:line="240" w:lineRule="auto"/>
              <w:contextualSpacing w:val="0"/>
              <w:jc w:val="center"/>
              <w:rPr>
                <w:color w:val="205968"/>
                <w:sz w:val="20"/>
                <w:szCs w:val="20"/>
              </w:rPr>
            </w:pPr>
            <w:r>
              <w:rPr>
                <w:color w:val="205968"/>
                <w:sz w:val="20"/>
                <w:szCs w:val="20"/>
              </w:rPr>
              <w:t>5,639</w:t>
            </w:r>
          </w:p>
        </w:tc>
        <w:tc>
          <w:tcPr>
            <w:tcW w:w="1505" w:type="dxa"/>
            <w:shd w:val="clear" w:color="auto" w:fill="93CDDC"/>
            <w:tcMar>
              <w:top w:w="100" w:type="dxa"/>
              <w:left w:w="100" w:type="dxa"/>
              <w:bottom w:w="100" w:type="dxa"/>
              <w:right w:w="100" w:type="dxa"/>
            </w:tcMar>
            <w:vAlign w:val="center"/>
          </w:tcPr>
          <w:p w14:paraId="361C010A" w14:textId="77777777" w:rsidR="008A34AE" w:rsidRDefault="00F35562">
            <w:pPr>
              <w:widowControl w:val="0"/>
              <w:spacing w:line="240" w:lineRule="auto"/>
              <w:contextualSpacing w:val="0"/>
              <w:jc w:val="center"/>
              <w:rPr>
                <w:color w:val="205968"/>
                <w:sz w:val="20"/>
                <w:szCs w:val="20"/>
              </w:rPr>
            </w:pPr>
            <w:r>
              <w:rPr>
                <w:color w:val="205968"/>
                <w:sz w:val="20"/>
                <w:szCs w:val="20"/>
              </w:rPr>
              <w:t>20</w:t>
            </w:r>
          </w:p>
        </w:tc>
      </w:tr>
      <w:tr w:rsidR="008A34AE" w14:paraId="7FB502A9" w14:textId="77777777">
        <w:tc>
          <w:tcPr>
            <w:tcW w:w="1504" w:type="dxa"/>
            <w:shd w:val="clear" w:color="auto" w:fill="31849B"/>
            <w:tcMar>
              <w:top w:w="100" w:type="dxa"/>
              <w:left w:w="100" w:type="dxa"/>
              <w:bottom w:w="100" w:type="dxa"/>
              <w:right w:w="100" w:type="dxa"/>
            </w:tcMar>
            <w:vAlign w:val="center"/>
          </w:tcPr>
          <w:p w14:paraId="741201FE" w14:textId="77777777" w:rsidR="008A34AE" w:rsidRDefault="00F35562">
            <w:pPr>
              <w:widowControl w:val="0"/>
              <w:spacing w:line="240" w:lineRule="auto"/>
              <w:contextualSpacing w:val="0"/>
              <w:rPr>
                <w:color w:val="FFFFFF"/>
                <w:sz w:val="20"/>
                <w:szCs w:val="20"/>
              </w:rPr>
            </w:pPr>
            <w:r>
              <w:rPr>
                <w:color w:val="FFFFFF"/>
                <w:sz w:val="20"/>
                <w:szCs w:val="20"/>
              </w:rPr>
              <w:t>Morelos</w:t>
            </w:r>
          </w:p>
        </w:tc>
        <w:tc>
          <w:tcPr>
            <w:tcW w:w="1505" w:type="dxa"/>
            <w:shd w:val="clear" w:color="auto" w:fill="93CDDC"/>
            <w:tcMar>
              <w:top w:w="100" w:type="dxa"/>
              <w:left w:w="100" w:type="dxa"/>
              <w:bottom w:w="100" w:type="dxa"/>
              <w:right w:w="100" w:type="dxa"/>
            </w:tcMar>
            <w:vAlign w:val="center"/>
          </w:tcPr>
          <w:p w14:paraId="71E373C4" w14:textId="77777777" w:rsidR="008A34AE" w:rsidRDefault="00F35562">
            <w:pPr>
              <w:widowControl w:val="0"/>
              <w:spacing w:line="240" w:lineRule="auto"/>
              <w:contextualSpacing w:val="0"/>
              <w:jc w:val="center"/>
              <w:rPr>
                <w:color w:val="205968"/>
                <w:sz w:val="20"/>
                <w:szCs w:val="20"/>
              </w:rPr>
            </w:pPr>
            <w:r>
              <w:rPr>
                <w:color w:val="205968"/>
                <w:sz w:val="20"/>
                <w:szCs w:val="20"/>
              </w:rPr>
              <w:t>15,800</w:t>
            </w:r>
          </w:p>
        </w:tc>
        <w:tc>
          <w:tcPr>
            <w:tcW w:w="1505" w:type="dxa"/>
            <w:shd w:val="clear" w:color="auto" w:fill="93CDDC"/>
            <w:tcMar>
              <w:top w:w="100" w:type="dxa"/>
              <w:left w:w="100" w:type="dxa"/>
              <w:bottom w:w="100" w:type="dxa"/>
              <w:right w:w="100" w:type="dxa"/>
            </w:tcMar>
            <w:vAlign w:val="center"/>
          </w:tcPr>
          <w:p w14:paraId="3DDD2834" w14:textId="77777777" w:rsidR="008A34AE" w:rsidRDefault="00F35562">
            <w:pPr>
              <w:widowControl w:val="0"/>
              <w:spacing w:line="240" w:lineRule="auto"/>
              <w:contextualSpacing w:val="0"/>
              <w:jc w:val="center"/>
              <w:rPr>
                <w:color w:val="205968"/>
                <w:sz w:val="20"/>
                <w:szCs w:val="20"/>
              </w:rPr>
            </w:pPr>
            <w:r>
              <w:rPr>
                <w:color w:val="205968"/>
                <w:sz w:val="20"/>
                <w:szCs w:val="20"/>
              </w:rPr>
              <w:t>9,696</w:t>
            </w:r>
          </w:p>
        </w:tc>
        <w:tc>
          <w:tcPr>
            <w:tcW w:w="1505" w:type="dxa"/>
            <w:shd w:val="clear" w:color="auto" w:fill="93CDDC"/>
            <w:tcMar>
              <w:top w:w="100" w:type="dxa"/>
              <w:left w:w="100" w:type="dxa"/>
              <w:bottom w:w="100" w:type="dxa"/>
              <w:right w:w="100" w:type="dxa"/>
            </w:tcMar>
            <w:vAlign w:val="center"/>
          </w:tcPr>
          <w:p w14:paraId="685C326C" w14:textId="77777777" w:rsidR="008A34AE" w:rsidRDefault="00F35562">
            <w:pPr>
              <w:widowControl w:val="0"/>
              <w:spacing w:line="240" w:lineRule="auto"/>
              <w:contextualSpacing w:val="0"/>
              <w:jc w:val="center"/>
              <w:rPr>
                <w:color w:val="205968"/>
                <w:sz w:val="20"/>
                <w:szCs w:val="20"/>
              </w:rPr>
            </w:pPr>
            <w:r>
              <w:rPr>
                <w:color w:val="205968"/>
                <w:sz w:val="20"/>
                <w:szCs w:val="20"/>
              </w:rPr>
              <w:t>61</w:t>
            </w:r>
          </w:p>
        </w:tc>
        <w:tc>
          <w:tcPr>
            <w:tcW w:w="1505" w:type="dxa"/>
            <w:shd w:val="clear" w:color="auto" w:fill="93CDDC"/>
            <w:tcMar>
              <w:top w:w="100" w:type="dxa"/>
              <w:left w:w="100" w:type="dxa"/>
              <w:bottom w:w="100" w:type="dxa"/>
              <w:right w:w="100" w:type="dxa"/>
            </w:tcMar>
            <w:vAlign w:val="center"/>
          </w:tcPr>
          <w:p w14:paraId="340749C7" w14:textId="77777777" w:rsidR="008A34AE" w:rsidRDefault="00F35562">
            <w:pPr>
              <w:widowControl w:val="0"/>
              <w:spacing w:line="240" w:lineRule="auto"/>
              <w:contextualSpacing w:val="0"/>
              <w:jc w:val="center"/>
              <w:rPr>
                <w:color w:val="205968"/>
                <w:sz w:val="20"/>
                <w:szCs w:val="20"/>
              </w:rPr>
            </w:pPr>
            <w:r>
              <w:rPr>
                <w:color w:val="205968"/>
                <w:sz w:val="20"/>
                <w:szCs w:val="20"/>
              </w:rPr>
              <w:t>6,104</w:t>
            </w:r>
          </w:p>
        </w:tc>
        <w:tc>
          <w:tcPr>
            <w:tcW w:w="1505" w:type="dxa"/>
            <w:shd w:val="clear" w:color="auto" w:fill="93CDDC"/>
            <w:tcMar>
              <w:top w:w="100" w:type="dxa"/>
              <w:left w:w="100" w:type="dxa"/>
              <w:bottom w:w="100" w:type="dxa"/>
              <w:right w:w="100" w:type="dxa"/>
            </w:tcMar>
            <w:vAlign w:val="center"/>
          </w:tcPr>
          <w:p w14:paraId="16A62A64" w14:textId="77777777" w:rsidR="008A34AE" w:rsidRDefault="00F35562">
            <w:pPr>
              <w:widowControl w:val="0"/>
              <w:spacing w:line="240" w:lineRule="auto"/>
              <w:contextualSpacing w:val="0"/>
              <w:jc w:val="center"/>
              <w:rPr>
                <w:color w:val="205968"/>
                <w:sz w:val="20"/>
                <w:szCs w:val="20"/>
              </w:rPr>
            </w:pPr>
            <w:r>
              <w:rPr>
                <w:color w:val="205968"/>
                <w:sz w:val="20"/>
                <w:szCs w:val="20"/>
              </w:rPr>
              <w:t>39</w:t>
            </w:r>
          </w:p>
        </w:tc>
      </w:tr>
      <w:tr w:rsidR="008A34AE" w14:paraId="5093D3E9" w14:textId="77777777">
        <w:tc>
          <w:tcPr>
            <w:tcW w:w="1504" w:type="dxa"/>
            <w:shd w:val="clear" w:color="auto" w:fill="31849B"/>
            <w:tcMar>
              <w:top w:w="100" w:type="dxa"/>
              <w:left w:w="100" w:type="dxa"/>
              <w:bottom w:w="100" w:type="dxa"/>
              <w:right w:w="100" w:type="dxa"/>
            </w:tcMar>
            <w:vAlign w:val="center"/>
          </w:tcPr>
          <w:p w14:paraId="5E340068" w14:textId="77777777" w:rsidR="008A34AE" w:rsidRDefault="00F35562">
            <w:pPr>
              <w:widowControl w:val="0"/>
              <w:spacing w:line="240" w:lineRule="auto"/>
              <w:contextualSpacing w:val="0"/>
              <w:rPr>
                <w:color w:val="FFFFFF"/>
                <w:sz w:val="20"/>
                <w:szCs w:val="20"/>
              </w:rPr>
            </w:pPr>
            <w:r>
              <w:rPr>
                <w:color w:val="FFFFFF"/>
                <w:sz w:val="20"/>
                <w:szCs w:val="20"/>
              </w:rPr>
              <w:t xml:space="preserve">Estado de México </w:t>
            </w:r>
          </w:p>
        </w:tc>
        <w:tc>
          <w:tcPr>
            <w:tcW w:w="1505" w:type="dxa"/>
            <w:shd w:val="clear" w:color="auto" w:fill="93CDDC"/>
            <w:tcMar>
              <w:top w:w="100" w:type="dxa"/>
              <w:left w:w="100" w:type="dxa"/>
              <w:bottom w:w="100" w:type="dxa"/>
              <w:right w:w="100" w:type="dxa"/>
            </w:tcMar>
            <w:vAlign w:val="center"/>
          </w:tcPr>
          <w:p w14:paraId="0C008F18" w14:textId="77777777" w:rsidR="008A34AE" w:rsidRDefault="00F35562">
            <w:pPr>
              <w:widowControl w:val="0"/>
              <w:spacing w:line="240" w:lineRule="auto"/>
              <w:contextualSpacing w:val="0"/>
              <w:jc w:val="center"/>
              <w:rPr>
                <w:color w:val="205968"/>
                <w:sz w:val="20"/>
                <w:szCs w:val="20"/>
              </w:rPr>
            </w:pPr>
            <w:r>
              <w:rPr>
                <w:color w:val="205968"/>
                <w:sz w:val="20"/>
                <w:szCs w:val="20"/>
              </w:rPr>
              <w:t>6,059</w:t>
            </w:r>
          </w:p>
        </w:tc>
        <w:tc>
          <w:tcPr>
            <w:tcW w:w="1505" w:type="dxa"/>
            <w:shd w:val="clear" w:color="auto" w:fill="93CDDC"/>
            <w:tcMar>
              <w:top w:w="100" w:type="dxa"/>
              <w:left w:w="100" w:type="dxa"/>
              <w:bottom w:w="100" w:type="dxa"/>
              <w:right w:w="100" w:type="dxa"/>
            </w:tcMar>
            <w:vAlign w:val="center"/>
          </w:tcPr>
          <w:p w14:paraId="0C7E421F" w14:textId="77777777" w:rsidR="008A34AE" w:rsidRDefault="00F35562">
            <w:pPr>
              <w:widowControl w:val="0"/>
              <w:spacing w:line="240" w:lineRule="auto"/>
              <w:contextualSpacing w:val="0"/>
              <w:jc w:val="center"/>
              <w:rPr>
                <w:color w:val="205968"/>
                <w:sz w:val="20"/>
                <w:szCs w:val="20"/>
              </w:rPr>
            </w:pPr>
            <w:r>
              <w:rPr>
                <w:color w:val="205968"/>
                <w:sz w:val="20"/>
                <w:szCs w:val="20"/>
              </w:rPr>
              <w:t>3,346</w:t>
            </w:r>
          </w:p>
        </w:tc>
        <w:tc>
          <w:tcPr>
            <w:tcW w:w="1505" w:type="dxa"/>
            <w:shd w:val="clear" w:color="auto" w:fill="93CDDC"/>
            <w:tcMar>
              <w:top w:w="100" w:type="dxa"/>
              <w:left w:w="100" w:type="dxa"/>
              <w:bottom w:w="100" w:type="dxa"/>
              <w:right w:w="100" w:type="dxa"/>
            </w:tcMar>
            <w:vAlign w:val="center"/>
          </w:tcPr>
          <w:p w14:paraId="62BB4DCA" w14:textId="77777777" w:rsidR="008A34AE" w:rsidRDefault="00F35562">
            <w:pPr>
              <w:widowControl w:val="0"/>
              <w:spacing w:line="240" w:lineRule="auto"/>
              <w:contextualSpacing w:val="0"/>
              <w:jc w:val="center"/>
              <w:rPr>
                <w:color w:val="205968"/>
                <w:sz w:val="20"/>
                <w:szCs w:val="20"/>
              </w:rPr>
            </w:pPr>
            <w:r>
              <w:rPr>
                <w:color w:val="205968"/>
                <w:sz w:val="20"/>
                <w:szCs w:val="20"/>
              </w:rPr>
              <w:t>55</w:t>
            </w:r>
          </w:p>
        </w:tc>
        <w:tc>
          <w:tcPr>
            <w:tcW w:w="1505" w:type="dxa"/>
            <w:shd w:val="clear" w:color="auto" w:fill="93CDDC"/>
            <w:tcMar>
              <w:top w:w="100" w:type="dxa"/>
              <w:left w:w="100" w:type="dxa"/>
              <w:bottom w:w="100" w:type="dxa"/>
              <w:right w:w="100" w:type="dxa"/>
            </w:tcMar>
            <w:vAlign w:val="center"/>
          </w:tcPr>
          <w:p w14:paraId="46A436DE" w14:textId="77777777" w:rsidR="008A34AE" w:rsidRDefault="00F35562">
            <w:pPr>
              <w:widowControl w:val="0"/>
              <w:spacing w:line="240" w:lineRule="auto"/>
              <w:contextualSpacing w:val="0"/>
              <w:jc w:val="center"/>
              <w:rPr>
                <w:color w:val="205968"/>
                <w:sz w:val="20"/>
                <w:szCs w:val="20"/>
              </w:rPr>
            </w:pPr>
            <w:r>
              <w:rPr>
                <w:color w:val="205968"/>
                <w:sz w:val="20"/>
                <w:szCs w:val="20"/>
              </w:rPr>
              <w:t>2,713</w:t>
            </w:r>
          </w:p>
        </w:tc>
        <w:tc>
          <w:tcPr>
            <w:tcW w:w="1505" w:type="dxa"/>
            <w:shd w:val="clear" w:color="auto" w:fill="93CDDC"/>
            <w:tcMar>
              <w:top w:w="100" w:type="dxa"/>
              <w:left w:w="100" w:type="dxa"/>
              <w:bottom w:w="100" w:type="dxa"/>
              <w:right w:w="100" w:type="dxa"/>
            </w:tcMar>
            <w:vAlign w:val="center"/>
          </w:tcPr>
          <w:p w14:paraId="24D9BF7D" w14:textId="77777777" w:rsidR="008A34AE" w:rsidRDefault="00F35562">
            <w:pPr>
              <w:widowControl w:val="0"/>
              <w:spacing w:line="240" w:lineRule="auto"/>
              <w:contextualSpacing w:val="0"/>
              <w:jc w:val="center"/>
              <w:rPr>
                <w:color w:val="205968"/>
                <w:sz w:val="20"/>
                <w:szCs w:val="20"/>
              </w:rPr>
            </w:pPr>
            <w:r>
              <w:rPr>
                <w:color w:val="205968"/>
                <w:sz w:val="20"/>
                <w:szCs w:val="20"/>
              </w:rPr>
              <w:t>45</w:t>
            </w:r>
          </w:p>
        </w:tc>
      </w:tr>
      <w:tr w:rsidR="008A34AE" w14:paraId="4AFCAEF3" w14:textId="77777777">
        <w:tc>
          <w:tcPr>
            <w:tcW w:w="1504" w:type="dxa"/>
            <w:shd w:val="clear" w:color="auto" w:fill="31849B"/>
            <w:tcMar>
              <w:top w:w="100" w:type="dxa"/>
              <w:left w:w="100" w:type="dxa"/>
              <w:bottom w:w="100" w:type="dxa"/>
              <w:right w:w="100" w:type="dxa"/>
            </w:tcMar>
            <w:vAlign w:val="center"/>
          </w:tcPr>
          <w:p w14:paraId="52355FA5" w14:textId="77777777" w:rsidR="008A34AE" w:rsidRDefault="00F35562">
            <w:pPr>
              <w:widowControl w:val="0"/>
              <w:spacing w:line="240" w:lineRule="auto"/>
              <w:contextualSpacing w:val="0"/>
              <w:rPr>
                <w:color w:val="FFFFFF"/>
                <w:sz w:val="20"/>
                <w:szCs w:val="20"/>
              </w:rPr>
            </w:pPr>
            <w:r>
              <w:rPr>
                <w:color w:val="FFFFFF"/>
                <w:sz w:val="20"/>
                <w:szCs w:val="20"/>
              </w:rPr>
              <w:t>Ciudad de México</w:t>
            </w:r>
          </w:p>
        </w:tc>
        <w:tc>
          <w:tcPr>
            <w:tcW w:w="1505" w:type="dxa"/>
            <w:shd w:val="clear" w:color="auto" w:fill="93CDDC"/>
            <w:tcMar>
              <w:top w:w="100" w:type="dxa"/>
              <w:left w:w="100" w:type="dxa"/>
              <w:bottom w:w="100" w:type="dxa"/>
              <w:right w:w="100" w:type="dxa"/>
            </w:tcMar>
            <w:vAlign w:val="center"/>
          </w:tcPr>
          <w:p w14:paraId="64A31A26" w14:textId="77777777" w:rsidR="008A34AE" w:rsidRDefault="00F35562">
            <w:pPr>
              <w:widowControl w:val="0"/>
              <w:spacing w:line="240" w:lineRule="auto"/>
              <w:contextualSpacing w:val="0"/>
              <w:jc w:val="center"/>
              <w:rPr>
                <w:color w:val="205968"/>
                <w:sz w:val="20"/>
                <w:szCs w:val="20"/>
              </w:rPr>
            </w:pPr>
            <w:r>
              <w:rPr>
                <w:color w:val="205968"/>
                <w:sz w:val="20"/>
                <w:szCs w:val="20"/>
              </w:rPr>
              <w:t>5,974</w:t>
            </w:r>
          </w:p>
        </w:tc>
        <w:tc>
          <w:tcPr>
            <w:tcW w:w="1505" w:type="dxa"/>
            <w:shd w:val="clear" w:color="auto" w:fill="93CDDC"/>
            <w:tcMar>
              <w:top w:w="100" w:type="dxa"/>
              <w:left w:w="100" w:type="dxa"/>
              <w:bottom w:w="100" w:type="dxa"/>
              <w:right w:w="100" w:type="dxa"/>
            </w:tcMar>
            <w:vAlign w:val="center"/>
          </w:tcPr>
          <w:p w14:paraId="602F2282" w14:textId="77777777" w:rsidR="008A34AE" w:rsidRDefault="00F35562">
            <w:pPr>
              <w:widowControl w:val="0"/>
              <w:spacing w:line="240" w:lineRule="auto"/>
              <w:contextualSpacing w:val="0"/>
              <w:jc w:val="center"/>
              <w:rPr>
                <w:color w:val="205968"/>
                <w:sz w:val="20"/>
                <w:szCs w:val="20"/>
              </w:rPr>
            </w:pPr>
            <w:r>
              <w:rPr>
                <w:color w:val="205968"/>
                <w:sz w:val="20"/>
                <w:szCs w:val="20"/>
              </w:rPr>
              <w:t>3,623</w:t>
            </w:r>
          </w:p>
        </w:tc>
        <w:tc>
          <w:tcPr>
            <w:tcW w:w="1505" w:type="dxa"/>
            <w:shd w:val="clear" w:color="auto" w:fill="93CDDC"/>
            <w:tcMar>
              <w:top w:w="100" w:type="dxa"/>
              <w:left w:w="100" w:type="dxa"/>
              <w:bottom w:w="100" w:type="dxa"/>
              <w:right w:w="100" w:type="dxa"/>
            </w:tcMar>
            <w:vAlign w:val="center"/>
          </w:tcPr>
          <w:p w14:paraId="0B4BB4FD" w14:textId="77777777" w:rsidR="008A34AE" w:rsidRDefault="00F35562">
            <w:pPr>
              <w:widowControl w:val="0"/>
              <w:spacing w:line="240" w:lineRule="auto"/>
              <w:contextualSpacing w:val="0"/>
              <w:jc w:val="center"/>
              <w:rPr>
                <w:color w:val="205968"/>
                <w:sz w:val="20"/>
                <w:szCs w:val="20"/>
              </w:rPr>
            </w:pPr>
            <w:r>
              <w:rPr>
                <w:color w:val="205968"/>
                <w:sz w:val="20"/>
                <w:szCs w:val="20"/>
              </w:rPr>
              <w:t>61</w:t>
            </w:r>
          </w:p>
        </w:tc>
        <w:tc>
          <w:tcPr>
            <w:tcW w:w="1505" w:type="dxa"/>
            <w:shd w:val="clear" w:color="auto" w:fill="93CDDC"/>
            <w:tcMar>
              <w:top w:w="100" w:type="dxa"/>
              <w:left w:w="100" w:type="dxa"/>
              <w:bottom w:w="100" w:type="dxa"/>
              <w:right w:w="100" w:type="dxa"/>
            </w:tcMar>
            <w:vAlign w:val="center"/>
          </w:tcPr>
          <w:p w14:paraId="726B06A1" w14:textId="77777777" w:rsidR="008A34AE" w:rsidRDefault="00F35562">
            <w:pPr>
              <w:widowControl w:val="0"/>
              <w:spacing w:line="240" w:lineRule="auto"/>
              <w:contextualSpacing w:val="0"/>
              <w:jc w:val="center"/>
              <w:rPr>
                <w:color w:val="205968"/>
                <w:sz w:val="20"/>
                <w:szCs w:val="20"/>
              </w:rPr>
            </w:pPr>
            <w:r>
              <w:rPr>
                <w:color w:val="205968"/>
                <w:sz w:val="20"/>
                <w:szCs w:val="20"/>
              </w:rPr>
              <w:t>2,351</w:t>
            </w:r>
          </w:p>
        </w:tc>
        <w:tc>
          <w:tcPr>
            <w:tcW w:w="1505" w:type="dxa"/>
            <w:shd w:val="clear" w:color="auto" w:fill="93CDDC"/>
            <w:tcMar>
              <w:top w:w="100" w:type="dxa"/>
              <w:left w:w="100" w:type="dxa"/>
              <w:bottom w:w="100" w:type="dxa"/>
              <w:right w:w="100" w:type="dxa"/>
            </w:tcMar>
            <w:vAlign w:val="center"/>
          </w:tcPr>
          <w:p w14:paraId="0EEA3B96" w14:textId="77777777" w:rsidR="008A34AE" w:rsidRDefault="00F35562">
            <w:pPr>
              <w:widowControl w:val="0"/>
              <w:spacing w:line="240" w:lineRule="auto"/>
              <w:contextualSpacing w:val="0"/>
              <w:jc w:val="center"/>
              <w:rPr>
                <w:color w:val="205968"/>
                <w:sz w:val="20"/>
                <w:szCs w:val="20"/>
              </w:rPr>
            </w:pPr>
            <w:r>
              <w:rPr>
                <w:color w:val="205968"/>
                <w:sz w:val="20"/>
                <w:szCs w:val="20"/>
              </w:rPr>
              <w:t>39</w:t>
            </w:r>
          </w:p>
        </w:tc>
      </w:tr>
      <w:tr w:rsidR="008A34AE" w14:paraId="07CBB34C" w14:textId="77777777">
        <w:tc>
          <w:tcPr>
            <w:tcW w:w="1504" w:type="dxa"/>
            <w:shd w:val="clear" w:color="auto" w:fill="31849B"/>
            <w:tcMar>
              <w:top w:w="100" w:type="dxa"/>
              <w:left w:w="100" w:type="dxa"/>
              <w:bottom w:w="100" w:type="dxa"/>
              <w:right w:w="100" w:type="dxa"/>
            </w:tcMar>
            <w:vAlign w:val="center"/>
          </w:tcPr>
          <w:p w14:paraId="5AD088BA" w14:textId="77777777" w:rsidR="008A34AE" w:rsidRDefault="00F35562">
            <w:pPr>
              <w:widowControl w:val="0"/>
              <w:spacing w:line="240" w:lineRule="auto"/>
              <w:contextualSpacing w:val="0"/>
              <w:rPr>
                <w:color w:val="FFFFFF"/>
                <w:sz w:val="20"/>
                <w:szCs w:val="20"/>
              </w:rPr>
            </w:pPr>
            <w:r>
              <w:rPr>
                <w:color w:val="FFFFFF"/>
                <w:sz w:val="20"/>
                <w:szCs w:val="20"/>
              </w:rPr>
              <w:t>Guerrero</w:t>
            </w:r>
          </w:p>
        </w:tc>
        <w:tc>
          <w:tcPr>
            <w:tcW w:w="1505" w:type="dxa"/>
            <w:shd w:val="clear" w:color="auto" w:fill="93CDDC"/>
            <w:tcMar>
              <w:top w:w="100" w:type="dxa"/>
              <w:left w:w="100" w:type="dxa"/>
              <w:bottom w:w="100" w:type="dxa"/>
              <w:right w:w="100" w:type="dxa"/>
            </w:tcMar>
            <w:vAlign w:val="center"/>
          </w:tcPr>
          <w:p w14:paraId="0D1A295B" w14:textId="77777777" w:rsidR="008A34AE" w:rsidRDefault="00F35562">
            <w:pPr>
              <w:widowControl w:val="0"/>
              <w:spacing w:line="240" w:lineRule="auto"/>
              <w:contextualSpacing w:val="0"/>
              <w:jc w:val="center"/>
              <w:rPr>
                <w:color w:val="205968"/>
                <w:sz w:val="20"/>
                <w:szCs w:val="20"/>
              </w:rPr>
            </w:pPr>
            <w:r>
              <w:rPr>
                <w:color w:val="205968"/>
                <w:sz w:val="20"/>
                <w:szCs w:val="20"/>
              </w:rPr>
              <w:t>3,928</w:t>
            </w:r>
          </w:p>
        </w:tc>
        <w:tc>
          <w:tcPr>
            <w:tcW w:w="1505" w:type="dxa"/>
            <w:shd w:val="clear" w:color="auto" w:fill="93CDDC"/>
            <w:tcMar>
              <w:top w:w="100" w:type="dxa"/>
              <w:left w:w="100" w:type="dxa"/>
              <w:bottom w:w="100" w:type="dxa"/>
              <w:right w:w="100" w:type="dxa"/>
            </w:tcMar>
            <w:vAlign w:val="center"/>
          </w:tcPr>
          <w:p w14:paraId="3FB13D1C" w14:textId="77777777" w:rsidR="008A34AE" w:rsidRDefault="00F35562">
            <w:pPr>
              <w:widowControl w:val="0"/>
              <w:spacing w:line="240" w:lineRule="auto"/>
              <w:contextualSpacing w:val="0"/>
              <w:jc w:val="center"/>
              <w:rPr>
                <w:color w:val="205968"/>
                <w:sz w:val="20"/>
                <w:szCs w:val="20"/>
              </w:rPr>
            </w:pPr>
            <w:r>
              <w:rPr>
                <w:color w:val="205968"/>
                <w:sz w:val="20"/>
                <w:szCs w:val="20"/>
              </w:rPr>
              <w:t>1,443</w:t>
            </w:r>
          </w:p>
        </w:tc>
        <w:tc>
          <w:tcPr>
            <w:tcW w:w="1505" w:type="dxa"/>
            <w:shd w:val="clear" w:color="auto" w:fill="93CDDC"/>
            <w:tcMar>
              <w:top w:w="100" w:type="dxa"/>
              <w:left w:w="100" w:type="dxa"/>
              <w:bottom w:w="100" w:type="dxa"/>
              <w:right w:w="100" w:type="dxa"/>
            </w:tcMar>
            <w:vAlign w:val="center"/>
          </w:tcPr>
          <w:p w14:paraId="0D8225BB" w14:textId="77777777" w:rsidR="008A34AE" w:rsidRDefault="00F35562">
            <w:pPr>
              <w:widowControl w:val="0"/>
              <w:spacing w:line="240" w:lineRule="auto"/>
              <w:contextualSpacing w:val="0"/>
              <w:jc w:val="center"/>
              <w:rPr>
                <w:color w:val="205968"/>
                <w:sz w:val="20"/>
                <w:szCs w:val="20"/>
              </w:rPr>
            </w:pPr>
            <w:r>
              <w:rPr>
                <w:color w:val="205968"/>
                <w:sz w:val="20"/>
                <w:szCs w:val="20"/>
              </w:rPr>
              <w:t>37</w:t>
            </w:r>
          </w:p>
        </w:tc>
        <w:tc>
          <w:tcPr>
            <w:tcW w:w="1505" w:type="dxa"/>
            <w:shd w:val="clear" w:color="auto" w:fill="93CDDC"/>
            <w:tcMar>
              <w:top w:w="100" w:type="dxa"/>
              <w:left w:w="100" w:type="dxa"/>
              <w:bottom w:w="100" w:type="dxa"/>
              <w:right w:w="100" w:type="dxa"/>
            </w:tcMar>
            <w:vAlign w:val="center"/>
          </w:tcPr>
          <w:p w14:paraId="54EE2025" w14:textId="77777777" w:rsidR="008A34AE" w:rsidRDefault="00F35562">
            <w:pPr>
              <w:widowControl w:val="0"/>
              <w:spacing w:line="240" w:lineRule="auto"/>
              <w:contextualSpacing w:val="0"/>
              <w:jc w:val="center"/>
              <w:rPr>
                <w:color w:val="205968"/>
                <w:sz w:val="20"/>
                <w:szCs w:val="20"/>
              </w:rPr>
            </w:pPr>
            <w:r>
              <w:rPr>
                <w:color w:val="205968"/>
                <w:sz w:val="20"/>
                <w:szCs w:val="20"/>
              </w:rPr>
              <w:t>2,485</w:t>
            </w:r>
          </w:p>
        </w:tc>
        <w:tc>
          <w:tcPr>
            <w:tcW w:w="1505" w:type="dxa"/>
            <w:shd w:val="clear" w:color="auto" w:fill="93CDDC"/>
            <w:tcMar>
              <w:top w:w="100" w:type="dxa"/>
              <w:left w:w="100" w:type="dxa"/>
              <w:bottom w:w="100" w:type="dxa"/>
              <w:right w:w="100" w:type="dxa"/>
            </w:tcMar>
            <w:vAlign w:val="center"/>
          </w:tcPr>
          <w:p w14:paraId="4E540189" w14:textId="77777777" w:rsidR="008A34AE" w:rsidRDefault="00F35562">
            <w:pPr>
              <w:widowControl w:val="0"/>
              <w:spacing w:line="240" w:lineRule="auto"/>
              <w:contextualSpacing w:val="0"/>
              <w:jc w:val="center"/>
              <w:rPr>
                <w:color w:val="205968"/>
                <w:sz w:val="20"/>
                <w:szCs w:val="20"/>
              </w:rPr>
            </w:pPr>
            <w:r>
              <w:rPr>
                <w:color w:val="205968"/>
                <w:sz w:val="20"/>
                <w:szCs w:val="20"/>
              </w:rPr>
              <w:t>63</w:t>
            </w:r>
          </w:p>
        </w:tc>
      </w:tr>
      <w:tr w:rsidR="008A34AE" w14:paraId="6139F4D0" w14:textId="77777777">
        <w:tc>
          <w:tcPr>
            <w:tcW w:w="1504" w:type="dxa"/>
            <w:shd w:val="clear" w:color="auto" w:fill="31849B"/>
            <w:tcMar>
              <w:top w:w="100" w:type="dxa"/>
              <w:left w:w="100" w:type="dxa"/>
              <w:bottom w:w="100" w:type="dxa"/>
              <w:right w:w="100" w:type="dxa"/>
            </w:tcMar>
            <w:vAlign w:val="center"/>
          </w:tcPr>
          <w:p w14:paraId="2CAA2BE0" w14:textId="77777777" w:rsidR="008A34AE" w:rsidRDefault="00F35562">
            <w:pPr>
              <w:widowControl w:val="0"/>
              <w:spacing w:line="240" w:lineRule="auto"/>
              <w:contextualSpacing w:val="0"/>
              <w:rPr>
                <w:color w:val="FFFFFF"/>
                <w:sz w:val="20"/>
                <w:szCs w:val="20"/>
              </w:rPr>
            </w:pPr>
            <w:r>
              <w:rPr>
                <w:color w:val="FFFFFF"/>
                <w:sz w:val="20"/>
                <w:szCs w:val="20"/>
              </w:rPr>
              <w:t>Veracruz</w:t>
            </w:r>
          </w:p>
        </w:tc>
        <w:tc>
          <w:tcPr>
            <w:tcW w:w="1505" w:type="dxa"/>
            <w:shd w:val="clear" w:color="auto" w:fill="93CDDC"/>
            <w:tcMar>
              <w:top w:w="100" w:type="dxa"/>
              <w:left w:w="100" w:type="dxa"/>
              <w:bottom w:w="100" w:type="dxa"/>
              <w:right w:w="100" w:type="dxa"/>
            </w:tcMar>
            <w:vAlign w:val="center"/>
          </w:tcPr>
          <w:p w14:paraId="1761EBDF" w14:textId="77777777" w:rsidR="008A34AE" w:rsidRDefault="00F35562">
            <w:pPr>
              <w:widowControl w:val="0"/>
              <w:spacing w:line="240" w:lineRule="auto"/>
              <w:contextualSpacing w:val="0"/>
              <w:jc w:val="center"/>
              <w:rPr>
                <w:color w:val="205968"/>
                <w:sz w:val="20"/>
                <w:szCs w:val="20"/>
              </w:rPr>
            </w:pPr>
            <w:r>
              <w:rPr>
                <w:color w:val="205968"/>
                <w:sz w:val="20"/>
                <w:szCs w:val="20"/>
              </w:rPr>
              <w:t>101</w:t>
            </w:r>
          </w:p>
        </w:tc>
        <w:tc>
          <w:tcPr>
            <w:tcW w:w="1505" w:type="dxa"/>
            <w:shd w:val="clear" w:color="auto" w:fill="93CDDC"/>
            <w:tcMar>
              <w:top w:w="100" w:type="dxa"/>
              <w:left w:w="100" w:type="dxa"/>
              <w:bottom w:w="100" w:type="dxa"/>
              <w:right w:w="100" w:type="dxa"/>
            </w:tcMar>
            <w:vAlign w:val="center"/>
          </w:tcPr>
          <w:p w14:paraId="22A28608" w14:textId="77777777" w:rsidR="008A34AE" w:rsidRDefault="00F35562">
            <w:pPr>
              <w:widowControl w:val="0"/>
              <w:spacing w:line="240" w:lineRule="auto"/>
              <w:contextualSpacing w:val="0"/>
              <w:jc w:val="center"/>
              <w:rPr>
                <w:color w:val="205968"/>
                <w:sz w:val="20"/>
                <w:szCs w:val="20"/>
              </w:rPr>
            </w:pPr>
            <w:r>
              <w:rPr>
                <w:color w:val="205968"/>
                <w:sz w:val="20"/>
                <w:szCs w:val="20"/>
              </w:rPr>
              <w:t>5</w:t>
            </w:r>
          </w:p>
        </w:tc>
        <w:tc>
          <w:tcPr>
            <w:tcW w:w="1505" w:type="dxa"/>
            <w:shd w:val="clear" w:color="auto" w:fill="93CDDC"/>
            <w:tcMar>
              <w:top w:w="100" w:type="dxa"/>
              <w:left w:w="100" w:type="dxa"/>
              <w:bottom w:w="100" w:type="dxa"/>
              <w:right w:w="100" w:type="dxa"/>
            </w:tcMar>
            <w:vAlign w:val="center"/>
          </w:tcPr>
          <w:p w14:paraId="4FFCA757" w14:textId="77777777" w:rsidR="008A34AE" w:rsidRDefault="00F35562">
            <w:pPr>
              <w:widowControl w:val="0"/>
              <w:spacing w:line="240" w:lineRule="auto"/>
              <w:contextualSpacing w:val="0"/>
              <w:jc w:val="center"/>
              <w:rPr>
                <w:color w:val="205968"/>
                <w:sz w:val="20"/>
                <w:szCs w:val="20"/>
              </w:rPr>
            </w:pPr>
            <w:r>
              <w:rPr>
                <w:color w:val="205968"/>
                <w:sz w:val="20"/>
                <w:szCs w:val="20"/>
              </w:rPr>
              <w:t>5</w:t>
            </w:r>
          </w:p>
        </w:tc>
        <w:tc>
          <w:tcPr>
            <w:tcW w:w="1505" w:type="dxa"/>
            <w:shd w:val="clear" w:color="auto" w:fill="93CDDC"/>
            <w:tcMar>
              <w:top w:w="100" w:type="dxa"/>
              <w:left w:w="100" w:type="dxa"/>
              <w:bottom w:w="100" w:type="dxa"/>
              <w:right w:w="100" w:type="dxa"/>
            </w:tcMar>
            <w:vAlign w:val="center"/>
          </w:tcPr>
          <w:p w14:paraId="2AAC848E" w14:textId="77777777" w:rsidR="008A34AE" w:rsidRDefault="00F35562">
            <w:pPr>
              <w:widowControl w:val="0"/>
              <w:spacing w:line="240" w:lineRule="auto"/>
              <w:contextualSpacing w:val="0"/>
              <w:jc w:val="center"/>
              <w:rPr>
                <w:color w:val="205968"/>
                <w:sz w:val="20"/>
                <w:szCs w:val="20"/>
              </w:rPr>
            </w:pPr>
            <w:r>
              <w:rPr>
                <w:color w:val="205968"/>
                <w:sz w:val="20"/>
                <w:szCs w:val="20"/>
              </w:rPr>
              <w:t>96</w:t>
            </w:r>
          </w:p>
        </w:tc>
        <w:tc>
          <w:tcPr>
            <w:tcW w:w="1505" w:type="dxa"/>
            <w:shd w:val="clear" w:color="auto" w:fill="93CDDC"/>
            <w:tcMar>
              <w:top w:w="100" w:type="dxa"/>
              <w:left w:w="100" w:type="dxa"/>
              <w:bottom w:w="100" w:type="dxa"/>
              <w:right w:w="100" w:type="dxa"/>
            </w:tcMar>
            <w:vAlign w:val="center"/>
          </w:tcPr>
          <w:p w14:paraId="37660E28" w14:textId="77777777" w:rsidR="008A34AE" w:rsidRDefault="00F35562">
            <w:pPr>
              <w:widowControl w:val="0"/>
              <w:spacing w:line="240" w:lineRule="auto"/>
              <w:contextualSpacing w:val="0"/>
              <w:jc w:val="center"/>
              <w:rPr>
                <w:color w:val="205968"/>
                <w:sz w:val="20"/>
                <w:szCs w:val="20"/>
              </w:rPr>
            </w:pPr>
            <w:r>
              <w:rPr>
                <w:color w:val="205968"/>
                <w:sz w:val="20"/>
                <w:szCs w:val="20"/>
              </w:rPr>
              <w:t>95</w:t>
            </w:r>
          </w:p>
        </w:tc>
      </w:tr>
      <w:tr w:rsidR="008A34AE" w14:paraId="52042396" w14:textId="77777777">
        <w:tc>
          <w:tcPr>
            <w:tcW w:w="1504" w:type="dxa"/>
            <w:shd w:val="clear" w:color="auto" w:fill="205968"/>
            <w:tcMar>
              <w:top w:w="100" w:type="dxa"/>
              <w:left w:w="100" w:type="dxa"/>
              <w:bottom w:w="100" w:type="dxa"/>
              <w:right w:w="100" w:type="dxa"/>
            </w:tcMar>
            <w:vAlign w:val="center"/>
          </w:tcPr>
          <w:p w14:paraId="0771B911" w14:textId="77777777" w:rsidR="008A34AE" w:rsidRDefault="00F35562">
            <w:pPr>
              <w:widowControl w:val="0"/>
              <w:pBdr>
                <w:top w:val="nil"/>
                <w:left w:val="nil"/>
                <w:bottom w:val="nil"/>
                <w:right w:val="nil"/>
                <w:between w:val="nil"/>
              </w:pBdr>
              <w:spacing w:line="240" w:lineRule="auto"/>
              <w:contextualSpacing w:val="0"/>
              <w:rPr>
                <w:b/>
                <w:color w:val="FFFFFF"/>
                <w:sz w:val="20"/>
                <w:szCs w:val="20"/>
              </w:rPr>
            </w:pPr>
            <w:r>
              <w:rPr>
                <w:b/>
                <w:color w:val="FFFFFF"/>
                <w:sz w:val="20"/>
                <w:szCs w:val="20"/>
              </w:rPr>
              <w:t>Total</w:t>
            </w:r>
          </w:p>
        </w:tc>
        <w:tc>
          <w:tcPr>
            <w:tcW w:w="1505" w:type="dxa"/>
            <w:shd w:val="clear" w:color="auto" w:fill="205968"/>
            <w:tcMar>
              <w:top w:w="100" w:type="dxa"/>
              <w:left w:w="100" w:type="dxa"/>
              <w:bottom w:w="100" w:type="dxa"/>
              <w:right w:w="100" w:type="dxa"/>
            </w:tcMar>
            <w:vAlign w:val="center"/>
          </w:tcPr>
          <w:p w14:paraId="30D56B10" w14:textId="6627CFA1" w:rsidR="008A34AE" w:rsidRDefault="00F35562">
            <w:pPr>
              <w:contextualSpacing w:val="0"/>
              <w:jc w:val="center"/>
              <w:rPr>
                <w:b/>
                <w:color w:val="FFFFFF"/>
                <w:sz w:val="20"/>
                <w:szCs w:val="20"/>
              </w:rPr>
            </w:pPr>
            <w:r>
              <w:rPr>
                <w:b/>
                <w:color w:val="FFFFFF"/>
                <w:sz w:val="20"/>
                <w:szCs w:val="20"/>
              </w:rPr>
              <w:t>191,227</w:t>
            </w:r>
            <w:r w:rsidR="006A2717">
              <w:rPr>
                <w:b/>
                <w:color w:val="FFFFFF"/>
                <w:sz w:val="20"/>
                <w:szCs w:val="20"/>
              </w:rPr>
              <w:t xml:space="preserve"> </w:t>
            </w:r>
          </w:p>
        </w:tc>
        <w:tc>
          <w:tcPr>
            <w:tcW w:w="1505" w:type="dxa"/>
            <w:shd w:val="clear" w:color="auto" w:fill="205968"/>
            <w:tcMar>
              <w:top w:w="100" w:type="dxa"/>
              <w:left w:w="100" w:type="dxa"/>
              <w:bottom w:w="100" w:type="dxa"/>
              <w:right w:w="100" w:type="dxa"/>
            </w:tcMar>
            <w:vAlign w:val="center"/>
          </w:tcPr>
          <w:p w14:paraId="06790CE6" w14:textId="77777777" w:rsidR="008A34AE" w:rsidRDefault="00F35562">
            <w:pPr>
              <w:contextualSpacing w:val="0"/>
              <w:jc w:val="center"/>
              <w:rPr>
                <w:b/>
                <w:color w:val="FFFFFF"/>
                <w:sz w:val="20"/>
                <w:szCs w:val="20"/>
              </w:rPr>
            </w:pPr>
            <w:r>
              <w:rPr>
                <w:b/>
                <w:color w:val="FFFFFF"/>
                <w:sz w:val="20"/>
                <w:szCs w:val="20"/>
              </w:rPr>
              <w:t>126,970</w:t>
            </w:r>
          </w:p>
        </w:tc>
        <w:tc>
          <w:tcPr>
            <w:tcW w:w="1505" w:type="dxa"/>
            <w:shd w:val="clear" w:color="auto" w:fill="205968"/>
            <w:tcMar>
              <w:top w:w="100" w:type="dxa"/>
              <w:left w:w="100" w:type="dxa"/>
              <w:bottom w:w="100" w:type="dxa"/>
              <w:right w:w="100" w:type="dxa"/>
            </w:tcMar>
            <w:vAlign w:val="center"/>
          </w:tcPr>
          <w:p w14:paraId="6CF07CFD" w14:textId="77777777" w:rsidR="008A34AE" w:rsidRDefault="00F35562">
            <w:pPr>
              <w:widowControl w:val="0"/>
              <w:pBdr>
                <w:top w:val="nil"/>
                <w:left w:val="nil"/>
                <w:bottom w:val="nil"/>
                <w:right w:val="nil"/>
                <w:between w:val="nil"/>
              </w:pBdr>
              <w:spacing w:line="240" w:lineRule="auto"/>
              <w:contextualSpacing w:val="0"/>
              <w:jc w:val="center"/>
              <w:rPr>
                <w:b/>
                <w:color w:val="FFFFFF"/>
                <w:sz w:val="20"/>
                <w:szCs w:val="20"/>
              </w:rPr>
            </w:pPr>
            <w:r>
              <w:rPr>
                <w:b/>
                <w:color w:val="FFFFFF"/>
                <w:sz w:val="20"/>
                <w:szCs w:val="20"/>
              </w:rPr>
              <w:t>66</w:t>
            </w:r>
          </w:p>
        </w:tc>
        <w:tc>
          <w:tcPr>
            <w:tcW w:w="1505" w:type="dxa"/>
            <w:shd w:val="clear" w:color="auto" w:fill="205968"/>
            <w:tcMar>
              <w:top w:w="100" w:type="dxa"/>
              <w:left w:w="100" w:type="dxa"/>
              <w:bottom w:w="100" w:type="dxa"/>
              <w:right w:w="100" w:type="dxa"/>
            </w:tcMar>
            <w:vAlign w:val="center"/>
          </w:tcPr>
          <w:p w14:paraId="60F7E0E8" w14:textId="77777777" w:rsidR="008A34AE" w:rsidRDefault="00F35562">
            <w:pPr>
              <w:contextualSpacing w:val="0"/>
              <w:jc w:val="center"/>
              <w:rPr>
                <w:b/>
                <w:color w:val="FFFFFF"/>
                <w:sz w:val="20"/>
                <w:szCs w:val="20"/>
              </w:rPr>
            </w:pPr>
            <w:r>
              <w:rPr>
                <w:b/>
                <w:color w:val="FFFFFF"/>
                <w:sz w:val="20"/>
                <w:szCs w:val="20"/>
              </w:rPr>
              <w:t>64,257</w:t>
            </w:r>
          </w:p>
        </w:tc>
        <w:tc>
          <w:tcPr>
            <w:tcW w:w="1505" w:type="dxa"/>
            <w:shd w:val="clear" w:color="auto" w:fill="205968"/>
            <w:tcMar>
              <w:top w:w="100" w:type="dxa"/>
              <w:left w:w="100" w:type="dxa"/>
              <w:bottom w:w="100" w:type="dxa"/>
              <w:right w:w="100" w:type="dxa"/>
            </w:tcMar>
            <w:vAlign w:val="center"/>
          </w:tcPr>
          <w:p w14:paraId="207C0CCF" w14:textId="77777777" w:rsidR="008A34AE" w:rsidRDefault="00F35562">
            <w:pPr>
              <w:widowControl w:val="0"/>
              <w:pBdr>
                <w:top w:val="nil"/>
                <w:left w:val="nil"/>
                <w:bottom w:val="nil"/>
                <w:right w:val="nil"/>
                <w:between w:val="nil"/>
              </w:pBdr>
              <w:spacing w:line="240" w:lineRule="auto"/>
              <w:contextualSpacing w:val="0"/>
              <w:jc w:val="center"/>
              <w:rPr>
                <w:b/>
                <w:color w:val="FFFFFF"/>
                <w:sz w:val="20"/>
                <w:szCs w:val="20"/>
              </w:rPr>
            </w:pPr>
            <w:r>
              <w:rPr>
                <w:b/>
                <w:color w:val="FFFFFF"/>
                <w:sz w:val="20"/>
                <w:szCs w:val="20"/>
              </w:rPr>
              <w:t>34</w:t>
            </w:r>
          </w:p>
        </w:tc>
      </w:tr>
    </w:tbl>
    <w:p w14:paraId="03D608CA" w14:textId="77777777" w:rsidR="008A34AE" w:rsidRDefault="00F35562">
      <w:pPr>
        <w:spacing w:line="240" w:lineRule="auto"/>
        <w:contextualSpacing w:val="0"/>
        <w:jc w:val="both"/>
        <w:rPr>
          <w:color w:val="595959"/>
          <w:sz w:val="16"/>
          <w:szCs w:val="16"/>
        </w:rPr>
      </w:pPr>
      <w:r>
        <w:rPr>
          <w:b/>
          <w:color w:val="595959"/>
          <w:sz w:val="16"/>
          <w:szCs w:val="16"/>
        </w:rPr>
        <w:t>Fuente:</w:t>
      </w:r>
      <w:r>
        <w:rPr>
          <w:color w:val="595959"/>
          <w:sz w:val="16"/>
          <w:szCs w:val="16"/>
        </w:rPr>
        <w:t xml:space="preserve"> Elaboración propia con información de la base de datos de Apoyo a Viviendas </w:t>
      </w:r>
      <w:r w:rsidR="00C907FB">
        <w:rPr>
          <w:color w:val="595959"/>
          <w:sz w:val="16"/>
          <w:szCs w:val="16"/>
        </w:rPr>
        <w:t>realizada</w:t>
      </w:r>
      <w:r>
        <w:rPr>
          <w:color w:val="595959"/>
          <w:sz w:val="16"/>
          <w:szCs w:val="16"/>
        </w:rPr>
        <w:t xml:space="preserve"> por BANSEFI y publicada, en su última actualización el 31 de julio de 2018, en el micrositio Fuerza México de la Plataforma de Transparencia Presupuestaria, SHCP. Consultada el 5 de septiembre de 2018. </w:t>
      </w:r>
    </w:p>
    <w:p w14:paraId="451BD1F3" w14:textId="77777777" w:rsidR="008A34AE" w:rsidRDefault="008A34AE">
      <w:pPr>
        <w:contextualSpacing w:val="0"/>
        <w:jc w:val="both"/>
        <w:rPr>
          <w:color w:val="FF0000"/>
          <w:highlight w:val="green"/>
        </w:rPr>
      </w:pPr>
    </w:p>
    <w:p w14:paraId="57522354" w14:textId="77777777" w:rsidR="008A34AE" w:rsidRDefault="00F35562">
      <w:pPr>
        <w:contextualSpacing w:val="0"/>
        <w:jc w:val="center"/>
        <w:rPr>
          <w:b/>
          <w:color w:val="595959"/>
          <w:sz w:val="20"/>
          <w:szCs w:val="20"/>
          <w:highlight w:val="white"/>
        </w:rPr>
      </w:pPr>
      <w:r>
        <w:rPr>
          <w:b/>
          <w:color w:val="595959"/>
        </w:rPr>
        <w:t xml:space="preserve">Tabla 4. Estadístico de viviendas dañadas, </w:t>
      </w:r>
      <w:r>
        <w:rPr>
          <w:b/>
          <w:color w:val="595959"/>
          <w:sz w:val="20"/>
          <w:szCs w:val="20"/>
        </w:rPr>
        <w:t xml:space="preserve">SEDATU </w:t>
      </w:r>
    </w:p>
    <w:tbl>
      <w:tblPr>
        <w:tblStyle w:val="a2"/>
        <w:tblW w:w="10206" w:type="dxa"/>
        <w:tblInd w:w="-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1"/>
        <w:gridCol w:w="993"/>
        <w:gridCol w:w="1134"/>
        <w:gridCol w:w="708"/>
        <w:gridCol w:w="1701"/>
        <w:gridCol w:w="1099"/>
        <w:gridCol w:w="1130"/>
        <w:gridCol w:w="1740"/>
      </w:tblGrid>
      <w:tr w:rsidR="008A34AE" w14:paraId="13F5C2D6" w14:textId="77777777" w:rsidTr="00F35562">
        <w:trPr>
          <w:tblHeader/>
        </w:trPr>
        <w:tc>
          <w:tcPr>
            <w:tcW w:w="1701" w:type="dxa"/>
            <w:shd w:val="clear" w:color="auto" w:fill="205968"/>
            <w:tcMar>
              <w:top w:w="100" w:type="dxa"/>
              <w:left w:w="100" w:type="dxa"/>
              <w:bottom w:w="100" w:type="dxa"/>
              <w:right w:w="100" w:type="dxa"/>
            </w:tcMar>
            <w:vAlign w:val="center"/>
          </w:tcPr>
          <w:p w14:paraId="0522355F" w14:textId="77777777" w:rsidR="008A34AE" w:rsidRDefault="00F35562">
            <w:pPr>
              <w:widowControl w:val="0"/>
              <w:spacing w:line="240" w:lineRule="auto"/>
              <w:contextualSpacing w:val="0"/>
              <w:jc w:val="center"/>
              <w:rPr>
                <w:b/>
                <w:color w:val="FFFFFF"/>
                <w:sz w:val="20"/>
                <w:szCs w:val="20"/>
              </w:rPr>
            </w:pPr>
            <w:r>
              <w:rPr>
                <w:b/>
                <w:color w:val="FFFFFF"/>
                <w:sz w:val="20"/>
                <w:szCs w:val="20"/>
              </w:rPr>
              <w:lastRenderedPageBreak/>
              <w:t>Entidad federativa</w:t>
            </w:r>
          </w:p>
        </w:tc>
        <w:tc>
          <w:tcPr>
            <w:tcW w:w="993" w:type="dxa"/>
            <w:shd w:val="clear" w:color="auto" w:fill="205968"/>
            <w:tcMar>
              <w:top w:w="100" w:type="dxa"/>
              <w:left w:w="100" w:type="dxa"/>
              <w:bottom w:w="100" w:type="dxa"/>
              <w:right w:w="100" w:type="dxa"/>
            </w:tcMar>
            <w:vAlign w:val="center"/>
          </w:tcPr>
          <w:p w14:paraId="0C66278D" w14:textId="77777777" w:rsidR="008A34AE" w:rsidRDefault="00F35562">
            <w:pPr>
              <w:widowControl w:val="0"/>
              <w:spacing w:line="240" w:lineRule="auto"/>
              <w:contextualSpacing w:val="0"/>
              <w:jc w:val="center"/>
              <w:rPr>
                <w:b/>
                <w:color w:val="FFFFFF"/>
                <w:sz w:val="20"/>
                <w:szCs w:val="20"/>
              </w:rPr>
            </w:pPr>
            <w:r>
              <w:rPr>
                <w:b/>
                <w:color w:val="FFFFFF"/>
                <w:sz w:val="20"/>
                <w:szCs w:val="20"/>
              </w:rPr>
              <w:t>Total</w:t>
            </w:r>
          </w:p>
        </w:tc>
        <w:tc>
          <w:tcPr>
            <w:tcW w:w="1134" w:type="dxa"/>
            <w:shd w:val="clear" w:color="auto" w:fill="205968"/>
            <w:tcMar>
              <w:top w:w="100" w:type="dxa"/>
              <w:left w:w="100" w:type="dxa"/>
              <w:bottom w:w="100" w:type="dxa"/>
              <w:right w:w="100" w:type="dxa"/>
            </w:tcMar>
            <w:vAlign w:val="center"/>
          </w:tcPr>
          <w:p w14:paraId="4607FBE1" w14:textId="77777777" w:rsidR="008A34AE" w:rsidRDefault="00F35562">
            <w:pPr>
              <w:widowControl w:val="0"/>
              <w:spacing w:line="240" w:lineRule="auto"/>
              <w:contextualSpacing w:val="0"/>
              <w:jc w:val="center"/>
              <w:rPr>
                <w:b/>
                <w:color w:val="FFFFFF"/>
                <w:sz w:val="20"/>
                <w:szCs w:val="20"/>
              </w:rPr>
            </w:pPr>
            <w:r>
              <w:rPr>
                <w:b/>
                <w:color w:val="FFFFFF"/>
                <w:sz w:val="20"/>
                <w:szCs w:val="20"/>
              </w:rPr>
              <w:t>Daño parcial</w:t>
            </w:r>
          </w:p>
          <w:p w14:paraId="3B56AE4C" w14:textId="77777777" w:rsidR="008A34AE" w:rsidRDefault="00F35562">
            <w:pPr>
              <w:widowControl w:val="0"/>
              <w:spacing w:line="240" w:lineRule="auto"/>
              <w:contextualSpacing w:val="0"/>
              <w:jc w:val="center"/>
              <w:rPr>
                <w:b/>
                <w:color w:val="FFFFFF"/>
                <w:sz w:val="16"/>
                <w:szCs w:val="16"/>
              </w:rPr>
            </w:pPr>
            <w:r>
              <w:rPr>
                <w:b/>
                <w:color w:val="FFFFFF"/>
                <w:sz w:val="16"/>
                <w:szCs w:val="16"/>
              </w:rPr>
              <w:t>(número de viviendas)</w:t>
            </w:r>
          </w:p>
        </w:tc>
        <w:tc>
          <w:tcPr>
            <w:tcW w:w="708" w:type="dxa"/>
            <w:shd w:val="clear" w:color="auto" w:fill="205968"/>
            <w:tcMar>
              <w:top w:w="100" w:type="dxa"/>
              <w:left w:w="100" w:type="dxa"/>
              <w:bottom w:w="100" w:type="dxa"/>
              <w:right w:w="100" w:type="dxa"/>
            </w:tcMar>
            <w:vAlign w:val="center"/>
          </w:tcPr>
          <w:p w14:paraId="07695EFF" w14:textId="77777777" w:rsidR="008A34AE" w:rsidRDefault="00F35562">
            <w:pPr>
              <w:widowControl w:val="0"/>
              <w:spacing w:line="240" w:lineRule="auto"/>
              <w:contextualSpacing w:val="0"/>
              <w:jc w:val="center"/>
              <w:rPr>
                <w:b/>
                <w:color w:val="FFFFFF"/>
                <w:sz w:val="20"/>
                <w:szCs w:val="20"/>
              </w:rPr>
            </w:pPr>
            <w:r>
              <w:rPr>
                <w:b/>
                <w:color w:val="FFFFFF"/>
                <w:sz w:val="20"/>
                <w:szCs w:val="20"/>
              </w:rPr>
              <w:t>%</w:t>
            </w:r>
          </w:p>
        </w:tc>
        <w:tc>
          <w:tcPr>
            <w:tcW w:w="1701" w:type="dxa"/>
            <w:shd w:val="clear" w:color="auto" w:fill="205968"/>
            <w:tcMar>
              <w:top w:w="100" w:type="dxa"/>
              <w:left w:w="100" w:type="dxa"/>
              <w:bottom w:w="100" w:type="dxa"/>
              <w:right w:w="100" w:type="dxa"/>
            </w:tcMar>
            <w:vAlign w:val="center"/>
          </w:tcPr>
          <w:p w14:paraId="706E17C1" w14:textId="77777777" w:rsidR="008A34AE" w:rsidRDefault="00F35562">
            <w:pPr>
              <w:widowControl w:val="0"/>
              <w:spacing w:line="240" w:lineRule="auto"/>
              <w:contextualSpacing w:val="0"/>
              <w:jc w:val="center"/>
              <w:rPr>
                <w:b/>
                <w:color w:val="FFFFFF"/>
                <w:sz w:val="20"/>
                <w:szCs w:val="20"/>
              </w:rPr>
            </w:pPr>
            <w:r>
              <w:rPr>
                <w:b/>
                <w:color w:val="FFFFFF"/>
                <w:sz w:val="20"/>
                <w:szCs w:val="20"/>
              </w:rPr>
              <w:t xml:space="preserve">Monto </w:t>
            </w:r>
            <w:r w:rsidR="00C907FB">
              <w:rPr>
                <w:b/>
                <w:color w:val="FFFFFF"/>
                <w:sz w:val="20"/>
                <w:szCs w:val="20"/>
              </w:rPr>
              <w:t>t</w:t>
            </w:r>
            <w:r>
              <w:rPr>
                <w:b/>
                <w:color w:val="FFFFFF"/>
                <w:sz w:val="20"/>
                <w:szCs w:val="20"/>
              </w:rPr>
              <w:t xml:space="preserve">otal de </w:t>
            </w:r>
            <w:r w:rsidR="00C907FB">
              <w:rPr>
                <w:b/>
                <w:color w:val="FFFFFF"/>
                <w:sz w:val="20"/>
                <w:szCs w:val="20"/>
              </w:rPr>
              <w:t>a</w:t>
            </w:r>
            <w:r>
              <w:rPr>
                <w:b/>
                <w:color w:val="FFFFFF"/>
                <w:sz w:val="20"/>
                <w:szCs w:val="20"/>
              </w:rPr>
              <w:t>poyos</w:t>
            </w:r>
          </w:p>
          <w:p w14:paraId="4A922D04" w14:textId="77777777" w:rsidR="008A34AE" w:rsidRDefault="00F35562">
            <w:pPr>
              <w:widowControl w:val="0"/>
              <w:spacing w:line="240" w:lineRule="auto"/>
              <w:contextualSpacing w:val="0"/>
              <w:jc w:val="center"/>
              <w:rPr>
                <w:b/>
                <w:color w:val="FFFFFF"/>
                <w:sz w:val="20"/>
                <w:szCs w:val="20"/>
              </w:rPr>
            </w:pPr>
            <w:r>
              <w:rPr>
                <w:b/>
                <w:color w:val="FFFFFF"/>
                <w:sz w:val="20"/>
                <w:szCs w:val="20"/>
              </w:rPr>
              <w:t>(pesos)</w:t>
            </w:r>
          </w:p>
        </w:tc>
        <w:tc>
          <w:tcPr>
            <w:tcW w:w="1099" w:type="dxa"/>
            <w:shd w:val="clear" w:color="auto" w:fill="205968"/>
            <w:tcMar>
              <w:top w:w="100" w:type="dxa"/>
              <w:left w:w="100" w:type="dxa"/>
              <w:bottom w:w="100" w:type="dxa"/>
              <w:right w:w="100" w:type="dxa"/>
            </w:tcMar>
            <w:vAlign w:val="center"/>
          </w:tcPr>
          <w:p w14:paraId="64D5CD7D" w14:textId="77777777" w:rsidR="008A34AE" w:rsidRDefault="00F35562">
            <w:pPr>
              <w:widowControl w:val="0"/>
              <w:spacing w:line="240" w:lineRule="auto"/>
              <w:contextualSpacing w:val="0"/>
              <w:jc w:val="center"/>
              <w:rPr>
                <w:b/>
                <w:color w:val="FFFFFF"/>
                <w:sz w:val="20"/>
                <w:szCs w:val="20"/>
              </w:rPr>
            </w:pPr>
            <w:r>
              <w:rPr>
                <w:b/>
                <w:color w:val="FFFFFF"/>
                <w:sz w:val="20"/>
                <w:szCs w:val="20"/>
              </w:rPr>
              <w:t>Pérdida total</w:t>
            </w:r>
          </w:p>
          <w:p w14:paraId="793928D8" w14:textId="77777777" w:rsidR="008A34AE" w:rsidRDefault="00F35562">
            <w:pPr>
              <w:widowControl w:val="0"/>
              <w:spacing w:line="240" w:lineRule="auto"/>
              <w:contextualSpacing w:val="0"/>
              <w:jc w:val="center"/>
              <w:rPr>
                <w:b/>
                <w:color w:val="FFFFFF"/>
                <w:sz w:val="16"/>
                <w:szCs w:val="16"/>
              </w:rPr>
            </w:pPr>
            <w:r>
              <w:rPr>
                <w:b/>
                <w:color w:val="FFFFFF"/>
                <w:sz w:val="16"/>
                <w:szCs w:val="16"/>
              </w:rPr>
              <w:t>(número de viviendas)</w:t>
            </w:r>
          </w:p>
        </w:tc>
        <w:tc>
          <w:tcPr>
            <w:tcW w:w="1130" w:type="dxa"/>
            <w:shd w:val="clear" w:color="auto" w:fill="205968"/>
            <w:tcMar>
              <w:top w:w="100" w:type="dxa"/>
              <w:left w:w="100" w:type="dxa"/>
              <w:bottom w:w="100" w:type="dxa"/>
              <w:right w:w="100" w:type="dxa"/>
            </w:tcMar>
            <w:vAlign w:val="center"/>
          </w:tcPr>
          <w:p w14:paraId="20E0F103" w14:textId="77777777" w:rsidR="008A34AE" w:rsidRDefault="00F35562">
            <w:pPr>
              <w:widowControl w:val="0"/>
              <w:spacing w:line="240" w:lineRule="auto"/>
              <w:contextualSpacing w:val="0"/>
              <w:jc w:val="center"/>
              <w:rPr>
                <w:b/>
                <w:color w:val="FFFFFF"/>
                <w:sz w:val="20"/>
                <w:szCs w:val="20"/>
              </w:rPr>
            </w:pPr>
            <w:r>
              <w:rPr>
                <w:b/>
                <w:color w:val="FFFFFF"/>
                <w:sz w:val="20"/>
                <w:szCs w:val="20"/>
              </w:rPr>
              <w:t>%</w:t>
            </w:r>
          </w:p>
        </w:tc>
        <w:tc>
          <w:tcPr>
            <w:tcW w:w="1740" w:type="dxa"/>
            <w:shd w:val="clear" w:color="auto" w:fill="205968"/>
            <w:tcMar>
              <w:top w:w="100" w:type="dxa"/>
              <w:left w:w="100" w:type="dxa"/>
              <w:bottom w:w="100" w:type="dxa"/>
              <w:right w:w="100" w:type="dxa"/>
            </w:tcMar>
            <w:vAlign w:val="center"/>
          </w:tcPr>
          <w:p w14:paraId="708AD462" w14:textId="77777777" w:rsidR="008A34AE" w:rsidRDefault="00F35562">
            <w:pPr>
              <w:widowControl w:val="0"/>
              <w:spacing w:line="240" w:lineRule="auto"/>
              <w:contextualSpacing w:val="0"/>
              <w:jc w:val="center"/>
              <w:rPr>
                <w:b/>
                <w:color w:val="FFFFFF"/>
                <w:sz w:val="20"/>
                <w:szCs w:val="20"/>
              </w:rPr>
            </w:pPr>
            <w:r>
              <w:rPr>
                <w:b/>
                <w:color w:val="FFFFFF"/>
                <w:sz w:val="20"/>
                <w:szCs w:val="20"/>
              </w:rPr>
              <w:t xml:space="preserve">Monto </w:t>
            </w:r>
            <w:r w:rsidR="0035358B">
              <w:rPr>
                <w:b/>
                <w:color w:val="FFFFFF"/>
                <w:sz w:val="20"/>
                <w:szCs w:val="20"/>
              </w:rPr>
              <w:t>t</w:t>
            </w:r>
            <w:r>
              <w:rPr>
                <w:b/>
                <w:color w:val="FFFFFF"/>
                <w:sz w:val="20"/>
                <w:szCs w:val="20"/>
              </w:rPr>
              <w:t xml:space="preserve">otal de </w:t>
            </w:r>
            <w:r w:rsidR="0035358B">
              <w:rPr>
                <w:b/>
                <w:color w:val="FFFFFF"/>
                <w:sz w:val="20"/>
                <w:szCs w:val="20"/>
              </w:rPr>
              <w:t>a</w:t>
            </w:r>
            <w:r>
              <w:rPr>
                <w:b/>
                <w:color w:val="FFFFFF"/>
                <w:sz w:val="20"/>
                <w:szCs w:val="20"/>
              </w:rPr>
              <w:t>poyos</w:t>
            </w:r>
          </w:p>
          <w:p w14:paraId="19029AB5" w14:textId="77777777" w:rsidR="008A34AE" w:rsidRDefault="00F35562">
            <w:pPr>
              <w:widowControl w:val="0"/>
              <w:spacing w:line="240" w:lineRule="auto"/>
              <w:contextualSpacing w:val="0"/>
              <w:jc w:val="center"/>
              <w:rPr>
                <w:b/>
                <w:color w:val="FFFFFF"/>
                <w:sz w:val="20"/>
                <w:szCs w:val="20"/>
              </w:rPr>
            </w:pPr>
            <w:r>
              <w:rPr>
                <w:b/>
                <w:color w:val="FFFFFF"/>
                <w:sz w:val="20"/>
                <w:szCs w:val="20"/>
              </w:rPr>
              <w:t>(pesos)</w:t>
            </w:r>
          </w:p>
        </w:tc>
      </w:tr>
      <w:tr w:rsidR="008A34AE" w14:paraId="678A1B45" w14:textId="77777777">
        <w:tc>
          <w:tcPr>
            <w:tcW w:w="1701" w:type="dxa"/>
            <w:shd w:val="clear" w:color="auto" w:fill="31849B"/>
            <w:tcMar>
              <w:top w:w="100" w:type="dxa"/>
              <w:left w:w="100" w:type="dxa"/>
              <w:bottom w:w="100" w:type="dxa"/>
              <w:right w:w="100" w:type="dxa"/>
            </w:tcMar>
            <w:vAlign w:val="center"/>
          </w:tcPr>
          <w:p w14:paraId="56403E3E" w14:textId="77777777" w:rsidR="008A34AE" w:rsidRDefault="00F35562">
            <w:pPr>
              <w:widowControl w:val="0"/>
              <w:spacing w:line="240" w:lineRule="auto"/>
              <w:contextualSpacing w:val="0"/>
              <w:rPr>
                <w:color w:val="FFFFFF"/>
                <w:sz w:val="20"/>
                <w:szCs w:val="20"/>
              </w:rPr>
            </w:pPr>
            <w:r>
              <w:rPr>
                <w:color w:val="FFFFFF"/>
                <w:sz w:val="20"/>
                <w:szCs w:val="20"/>
              </w:rPr>
              <w:t>Oaxaca</w:t>
            </w:r>
          </w:p>
        </w:tc>
        <w:tc>
          <w:tcPr>
            <w:tcW w:w="993" w:type="dxa"/>
            <w:shd w:val="clear" w:color="auto" w:fill="B7DDE8"/>
            <w:tcMar>
              <w:top w:w="100" w:type="dxa"/>
              <w:left w:w="100" w:type="dxa"/>
              <w:bottom w:w="100" w:type="dxa"/>
              <w:right w:w="100" w:type="dxa"/>
            </w:tcMar>
            <w:vAlign w:val="center"/>
          </w:tcPr>
          <w:p w14:paraId="79A0BAB2" w14:textId="77777777" w:rsidR="008A34AE" w:rsidRDefault="00F35562">
            <w:pPr>
              <w:widowControl w:val="0"/>
              <w:spacing w:line="240" w:lineRule="auto"/>
              <w:contextualSpacing w:val="0"/>
              <w:jc w:val="center"/>
              <w:rPr>
                <w:color w:val="205968"/>
                <w:sz w:val="20"/>
                <w:szCs w:val="20"/>
              </w:rPr>
            </w:pPr>
            <w:r>
              <w:rPr>
                <w:color w:val="205968"/>
                <w:sz w:val="20"/>
                <w:szCs w:val="20"/>
              </w:rPr>
              <w:t>65,044</w:t>
            </w:r>
          </w:p>
        </w:tc>
        <w:tc>
          <w:tcPr>
            <w:tcW w:w="1134" w:type="dxa"/>
            <w:shd w:val="clear" w:color="auto" w:fill="93CDDC"/>
            <w:tcMar>
              <w:top w:w="100" w:type="dxa"/>
              <w:left w:w="100" w:type="dxa"/>
              <w:bottom w:w="100" w:type="dxa"/>
              <w:right w:w="100" w:type="dxa"/>
            </w:tcMar>
            <w:vAlign w:val="center"/>
          </w:tcPr>
          <w:p w14:paraId="26272744" w14:textId="77777777" w:rsidR="008A34AE" w:rsidRDefault="00F35562">
            <w:pPr>
              <w:widowControl w:val="0"/>
              <w:spacing w:line="240" w:lineRule="auto"/>
              <w:contextualSpacing w:val="0"/>
              <w:jc w:val="center"/>
              <w:rPr>
                <w:color w:val="205968"/>
                <w:sz w:val="20"/>
                <w:szCs w:val="20"/>
              </w:rPr>
            </w:pPr>
            <w:r>
              <w:rPr>
                <w:color w:val="205968"/>
                <w:sz w:val="20"/>
                <w:szCs w:val="20"/>
              </w:rPr>
              <w:t>38,095</w:t>
            </w:r>
          </w:p>
        </w:tc>
        <w:tc>
          <w:tcPr>
            <w:tcW w:w="708" w:type="dxa"/>
            <w:shd w:val="clear" w:color="auto" w:fill="93CDDC"/>
            <w:tcMar>
              <w:top w:w="100" w:type="dxa"/>
              <w:left w:w="100" w:type="dxa"/>
              <w:bottom w:w="100" w:type="dxa"/>
              <w:right w:w="100" w:type="dxa"/>
            </w:tcMar>
            <w:vAlign w:val="center"/>
          </w:tcPr>
          <w:p w14:paraId="471A250F" w14:textId="77777777" w:rsidR="008A34AE" w:rsidRDefault="00F35562">
            <w:pPr>
              <w:widowControl w:val="0"/>
              <w:spacing w:line="240" w:lineRule="auto"/>
              <w:contextualSpacing w:val="0"/>
              <w:jc w:val="center"/>
              <w:rPr>
                <w:color w:val="205968"/>
                <w:sz w:val="20"/>
                <w:szCs w:val="20"/>
              </w:rPr>
            </w:pPr>
            <w:r>
              <w:rPr>
                <w:color w:val="205968"/>
                <w:sz w:val="20"/>
                <w:szCs w:val="20"/>
              </w:rPr>
              <w:t>59</w:t>
            </w:r>
          </w:p>
        </w:tc>
        <w:tc>
          <w:tcPr>
            <w:tcW w:w="1701" w:type="dxa"/>
            <w:shd w:val="clear" w:color="auto" w:fill="B7DDE8"/>
            <w:tcMar>
              <w:top w:w="100" w:type="dxa"/>
              <w:left w:w="100" w:type="dxa"/>
              <w:bottom w:w="100" w:type="dxa"/>
              <w:right w:w="100" w:type="dxa"/>
            </w:tcMar>
            <w:vAlign w:val="center"/>
          </w:tcPr>
          <w:p w14:paraId="510C839E" w14:textId="77777777" w:rsidR="008A34AE" w:rsidRDefault="00F35562">
            <w:pPr>
              <w:widowControl w:val="0"/>
              <w:spacing w:line="240" w:lineRule="auto"/>
              <w:contextualSpacing w:val="0"/>
              <w:jc w:val="center"/>
              <w:rPr>
                <w:color w:val="205968"/>
                <w:sz w:val="20"/>
                <w:szCs w:val="20"/>
              </w:rPr>
            </w:pPr>
            <w:r>
              <w:rPr>
                <w:color w:val="205968"/>
                <w:sz w:val="20"/>
                <w:szCs w:val="20"/>
              </w:rPr>
              <w:t>$571,479,000</w:t>
            </w:r>
          </w:p>
        </w:tc>
        <w:tc>
          <w:tcPr>
            <w:tcW w:w="1099" w:type="dxa"/>
            <w:shd w:val="clear" w:color="auto" w:fill="93CDDC"/>
            <w:tcMar>
              <w:top w:w="100" w:type="dxa"/>
              <w:left w:w="100" w:type="dxa"/>
              <w:bottom w:w="100" w:type="dxa"/>
              <w:right w:w="100" w:type="dxa"/>
            </w:tcMar>
            <w:vAlign w:val="center"/>
          </w:tcPr>
          <w:p w14:paraId="68223610" w14:textId="77777777" w:rsidR="008A34AE" w:rsidRDefault="00F35562">
            <w:pPr>
              <w:widowControl w:val="0"/>
              <w:spacing w:line="240" w:lineRule="auto"/>
              <w:contextualSpacing w:val="0"/>
              <w:jc w:val="center"/>
              <w:rPr>
                <w:color w:val="205968"/>
                <w:sz w:val="20"/>
                <w:szCs w:val="20"/>
              </w:rPr>
            </w:pPr>
            <w:r>
              <w:rPr>
                <w:color w:val="205968"/>
                <w:sz w:val="20"/>
                <w:szCs w:val="20"/>
              </w:rPr>
              <w:t>26,949</w:t>
            </w:r>
          </w:p>
        </w:tc>
        <w:tc>
          <w:tcPr>
            <w:tcW w:w="1130" w:type="dxa"/>
            <w:shd w:val="clear" w:color="auto" w:fill="93CDDC"/>
            <w:tcMar>
              <w:top w:w="100" w:type="dxa"/>
              <w:left w:w="100" w:type="dxa"/>
              <w:bottom w:w="100" w:type="dxa"/>
              <w:right w:w="100" w:type="dxa"/>
            </w:tcMar>
            <w:vAlign w:val="center"/>
          </w:tcPr>
          <w:p w14:paraId="0380F2B6" w14:textId="77777777" w:rsidR="008A34AE" w:rsidRDefault="00F35562">
            <w:pPr>
              <w:widowControl w:val="0"/>
              <w:spacing w:line="240" w:lineRule="auto"/>
              <w:contextualSpacing w:val="0"/>
              <w:jc w:val="center"/>
              <w:rPr>
                <w:color w:val="205968"/>
                <w:sz w:val="20"/>
                <w:szCs w:val="20"/>
              </w:rPr>
            </w:pPr>
            <w:r>
              <w:rPr>
                <w:color w:val="205968"/>
                <w:sz w:val="20"/>
                <w:szCs w:val="20"/>
              </w:rPr>
              <w:t>41</w:t>
            </w:r>
          </w:p>
        </w:tc>
        <w:tc>
          <w:tcPr>
            <w:tcW w:w="1740" w:type="dxa"/>
            <w:shd w:val="clear" w:color="auto" w:fill="B7DDE8"/>
            <w:tcMar>
              <w:top w:w="100" w:type="dxa"/>
              <w:left w:w="100" w:type="dxa"/>
              <w:bottom w:w="100" w:type="dxa"/>
              <w:right w:w="100" w:type="dxa"/>
            </w:tcMar>
            <w:vAlign w:val="center"/>
          </w:tcPr>
          <w:p w14:paraId="04EBDD01" w14:textId="77777777" w:rsidR="008A34AE" w:rsidRDefault="00F35562">
            <w:pPr>
              <w:widowControl w:val="0"/>
              <w:spacing w:line="240" w:lineRule="auto"/>
              <w:contextualSpacing w:val="0"/>
              <w:jc w:val="center"/>
              <w:rPr>
                <w:color w:val="205968"/>
                <w:sz w:val="20"/>
                <w:szCs w:val="20"/>
              </w:rPr>
            </w:pPr>
            <w:r>
              <w:rPr>
                <w:color w:val="205968"/>
                <w:sz w:val="20"/>
                <w:szCs w:val="20"/>
              </w:rPr>
              <w:t>$3,235,030,000</w:t>
            </w:r>
          </w:p>
        </w:tc>
      </w:tr>
      <w:tr w:rsidR="008A34AE" w14:paraId="1B0653A4" w14:textId="77777777">
        <w:tc>
          <w:tcPr>
            <w:tcW w:w="1701" w:type="dxa"/>
            <w:shd w:val="clear" w:color="auto" w:fill="31849B"/>
            <w:tcMar>
              <w:top w:w="100" w:type="dxa"/>
              <w:left w:w="100" w:type="dxa"/>
              <w:bottom w:w="100" w:type="dxa"/>
              <w:right w:w="100" w:type="dxa"/>
            </w:tcMar>
            <w:vAlign w:val="center"/>
          </w:tcPr>
          <w:p w14:paraId="384510D7" w14:textId="77777777" w:rsidR="008A34AE" w:rsidRDefault="00F35562">
            <w:pPr>
              <w:widowControl w:val="0"/>
              <w:spacing w:line="240" w:lineRule="auto"/>
              <w:contextualSpacing w:val="0"/>
              <w:rPr>
                <w:color w:val="FFFFFF"/>
                <w:sz w:val="20"/>
                <w:szCs w:val="20"/>
              </w:rPr>
            </w:pPr>
            <w:r>
              <w:rPr>
                <w:color w:val="FFFFFF"/>
                <w:sz w:val="20"/>
                <w:szCs w:val="20"/>
              </w:rPr>
              <w:t>Chiapas</w:t>
            </w:r>
          </w:p>
        </w:tc>
        <w:tc>
          <w:tcPr>
            <w:tcW w:w="993" w:type="dxa"/>
            <w:shd w:val="clear" w:color="auto" w:fill="B7DDE8"/>
            <w:tcMar>
              <w:top w:w="100" w:type="dxa"/>
              <w:left w:w="100" w:type="dxa"/>
              <w:bottom w:w="100" w:type="dxa"/>
              <w:right w:w="100" w:type="dxa"/>
            </w:tcMar>
            <w:vAlign w:val="center"/>
          </w:tcPr>
          <w:p w14:paraId="4CA3DBBA" w14:textId="77777777" w:rsidR="008A34AE" w:rsidRDefault="00F35562">
            <w:pPr>
              <w:widowControl w:val="0"/>
              <w:spacing w:line="240" w:lineRule="auto"/>
              <w:contextualSpacing w:val="0"/>
              <w:jc w:val="center"/>
              <w:rPr>
                <w:color w:val="205968"/>
                <w:sz w:val="20"/>
                <w:szCs w:val="20"/>
              </w:rPr>
            </w:pPr>
            <w:r>
              <w:rPr>
                <w:color w:val="205968"/>
                <w:sz w:val="20"/>
                <w:szCs w:val="20"/>
              </w:rPr>
              <w:t>46,773</w:t>
            </w:r>
          </w:p>
        </w:tc>
        <w:tc>
          <w:tcPr>
            <w:tcW w:w="1134" w:type="dxa"/>
            <w:shd w:val="clear" w:color="auto" w:fill="93CDDC"/>
            <w:tcMar>
              <w:top w:w="100" w:type="dxa"/>
              <w:left w:w="100" w:type="dxa"/>
              <w:bottom w:w="100" w:type="dxa"/>
              <w:right w:w="100" w:type="dxa"/>
            </w:tcMar>
            <w:vAlign w:val="center"/>
          </w:tcPr>
          <w:p w14:paraId="45313D52" w14:textId="77777777" w:rsidR="008A34AE" w:rsidRDefault="00F35562">
            <w:pPr>
              <w:widowControl w:val="0"/>
              <w:spacing w:line="240" w:lineRule="auto"/>
              <w:contextualSpacing w:val="0"/>
              <w:jc w:val="center"/>
              <w:rPr>
                <w:color w:val="205968"/>
                <w:sz w:val="20"/>
                <w:szCs w:val="20"/>
              </w:rPr>
            </w:pPr>
            <w:r>
              <w:rPr>
                <w:color w:val="205968"/>
                <w:sz w:val="20"/>
                <w:szCs w:val="20"/>
              </w:rPr>
              <w:t>32,700</w:t>
            </w:r>
          </w:p>
        </w:tc>
        <w:tc>
          <w:tcPr>
            <w:tcW w:w="708" w:type="dxa"/>
            <w:shd w:val="clear" w:color="auto" w:fill="93CDDC"/>
            <w:tcMar>
              <w:top w:w="100" w:type="dxa"/>
              <w:left w:w="100" w:type="dxa"/>
              <w:bottom w:w="100" w:type="dxa"/>
              <w:right w:w="100" w:type="dxa"/>
            </w:tcMar>
            <w:vAlign w:val="center"/>
          </w:tcPr>
          <w:p w14:paraId="0D0A48F6" w14:textId="77777777" w:rsidR="008A34AE" w:rsidRDefault="00F35562">
            <w:pPr>
              <w:widowControl w:val="0"/>
              <w:spacing w:line="240" w:lineRule="auto"/>
              <w:contextualSpacing w:val="0"/>
              <w:jc w:val="center"/>
              <w:rPr>
                <w:color w:val="205968"/>
                <w:sz w:val="20"/>
                <w:szCs w:val="20"/>
              </w:rPr>
            </w:pPr>
            <w:r>
              <w:rPr>
                <w:color w:val="205968"/>
                <w:sz w:val="20"/>
                <w:szCs w:val="20"/>
              </w:rPr>
              <w:t>70</w:t>
            </w:r>
          </w:p>
        </w:tc>
        <w:tc>
          <w:tcPr>
            <w:tcW w:w="1701" w:type="dxa"/>
            <w:shd w:val="clear" w:color="auto" w:fill="B7DDE8"/>
            <w:tcMar>
              <w:top w:w="100" w:type="dxa"/>
              <w:left w:w="100" w:type="dxa"/>
              <w:bottom w:w="100" w:type="dxa"/>
              <w:right w:w="100" w:type="dxa"/>
            </w:tcMar>
            <w:vAlign w:val="center"/>
          </w:tcPr>
          <w:p w14:paraId="5E9DB47F" w14:textId="77777777" w:rsidR="008A34AE" w:rsidRDefault="00F35562">
            <w:pPr>
              <w:widowControl w:val="0"/>
              <w:spacing w:line="240" w:lineRule="auto"/>
              <w:contextualSpacing w:val="0"/>
              <w:jc w:val="center"/>
              <w:rPr>
                <w:color w:val="205968"/>
                <w:sz w:val="20"/>
                <w:szCs w:val="20"/>
              </w:rPr>
            </w:pPr>
            <w:r>
              <w:rPr>
                <w:color w:val="205968"/>
                <w:sz w:val="20"/>
                <w:szCs w:val="20"/>
              </w:rPr>
              <w:t>$490,690,000</w:t>
            </w:r>
          </w:p>
        </w:tc>
        <w:tc>
          <w:tcPr>
            <w:tcW w:w="1099" w:type="dxa"/>
            <w:shd w:val="clear" w:color="auto" w:fill="93CDDC"/>
            <w:tcMar>
              <w:top w:w="100" w:type="dxa"/>
              <w:left w:w="100" w:type="dxa"/>
              <w:bottom w:w="100" w:type="dxa"/>
              <w:right w:w="100" w:type="dxa"/>
            </w:tcMar>
            <w:vAlign w:val="center"/>
          </w:tcPr>
          <w:p w14:paraId="63224FA4" w14:textId="77777777" w:rsidR="008A34AE" w:rsidRDefault="00F35562">
            <w:pPr>
              <w:widowControl w:val="0"/>
              <w:spacing w:line="240" w:lineRule="auto"/>
              <w:contextualSpacing w:val="0"/>
              <w:jc w:val="center"/>
              <w:rPr>
                <w:color w:val="205968"/>
                <w:sz w:val="20"/>
                <w:szCs w:val="20"/>
              </w:rPr>
            </w:pPr>
            <w:r>
              <w:rPr>
                <w:color w:val="205968"/>
                <w:sz w:val="20"/>
                <w:szCs w:val="20"/>
              </w:rPr>
              <w:t>14,073</w:t>
            </w:r>
          </w:p>
        </w:tc>
        <w:tc>
          <w:tcPr>
            <w:tcW w:w="1130" w:type="dxa"/>
            <w:shd w:val="clear" w:color="auto" w:fill="93CDDC"/>
            <w:tcMar>
              <w:top w:w="100" w:type="dxa"/>
              <w:left w:w="100" w:type="dxa"/>
              <w:bottom w:w="100" w:type="dxa"/>
              <w:right w:w="100" w:type="dxa"/>
            </w:tcMar>
            <w:vAlign w:val="center"/>
          </w:tcPr>
          <w:p w14:paraId="365628CF" w14:textId="77777777" w:rsidR="008A34AE" w:rsidRDefault="00F35562">
            <w:pPr>
              <w:widowControl w:val="0"/>
              <w:spacing w:line="240" w:lineRule="auto"/>
              <w:contextualSpacing w:val="0"/>
              <w:jc w:val="center"/>
              <w:rPr>
                <w:color w:val="205968"/>
                <w:sz w:val="20"/>
                <w:szCs w:val="20"/>
              </w:rPr>
            </w:pPr>
            <w:r>
              <w:rPr>
                <w:color w:val="205968"/>
                <w:sz w:val="20"/>
                <w:szCs w:val="20"/>
              </w:rPr>
              <w:t>30</w:t>
            </w:r>
          </w:p>
        </w:tc>
        <w:tc>
          <w:tcPr>
            <w:tcW w:w="1740" w:type="dxa"/>
            <w:shd w:val="clear" w:color="auto" w:fill="B7DDE8"/>
            <w:tcMar>
              <w:top w:w="100" w:type="dxa"/>
              <w:left w:w="100" w:type="dxa"/>
              <w:bottom w:w="100" w:type="dxa"/>
              <w:right w:w="100" w:type="dxa"/>
            </w:tcMar>
            <w:vAlign w:val="center"/>
          </w:tcPr>
          <w:p w14:paraId="22686C10" w14:textId="77777777" w:rsidR="008A34AE" w:rsidRDefault="00F35562">
            <w:pPr>
              <w:widowControl w:val="0"/>
              <w:spacing w:line="240" w:lineRule="auto"/>
              <w:contextualSpacing w:val="0"/>
              <w:jc w:val="center"/>
              <w:rPr>
                <w:color w:val="205968"/>
                <w:sz w:val="20"/>
                <w:szCs w:val="20"/>
              </w:rPr>
            </w:pPr>
            <w:r>
              <w:rPr>
                <w:color w:val="205968"/>
                <w:sz w:val="20"/>
                <w:szCs w:val="20"/>
              </w:rPr>
              <w:t>$1,689,090,000</w:t>
            </w:r>
          </w:p>
        </w:tc>
      </w:tr>
      <w:tr w:rsidR="008A34AE" w14:paraId="29A4575A" w14:textId="77777777">
        <w:tc>
          <w:tcPr>
            <w:tcW w:w="1701" w:type="dxa"/>
            <w:shd w:val="clear" w:color="auto" w:fill="31849B"/>
            <w:tcMar>
              <w:top w:w="100" w:type="dxa"/>
              <w:left w:w="100" w:type="dxa"/>
              <w:bottom w:w="100" w:type="dxa"/>
              <w:right w:w="100" w:type="dxa"/>
            </w:tcMar>
            <w:vAlign w:val="center"/>
          </w:tcPr>
          <w:p w14:paraId="5CC38C66" w14:textId="77777777" w:rsidR="008A34AE" w:rsidRDefault="00F35562">
            <w:pPr>
              <w:widowControl w:val="0"/>
              <w:spacing w:line="240" w:lineRule="auto"/>
              <w:contextualSpacing w:val="0"/>
              <w:rPr>
                <w:color w:val="FFFFFF"/>
                <w:sz w:val="20"/>
                <w:szCs w:val="20"/>
              </w:rPr>
            </w:pPr>
            <w:r>
              <w:rPr>
                <w:color w:val="FFFFFF"/>
                <w:sz w:val="20"/>
                <w:szCs w:val="20"/>
              </w:rPr>
              <w:t>Puebla</w:t>
            </w:r>
          </w:p>
        </w:tc>
        <w:tc>
          <w:tcPr>
            <w:tcW w:w="993" w:type="dxa"/>
            <w:shd w:val="clear" w:color="auto" w:fill="B7DDE8"/>
            <w:tcMar>
              <w:top w:w="100" w:type="dxa"/>
              <w:left w:w="100" w:type="dxa"/>
              <w:bottom w:w="100" w:type="dxa"/>
              <w:right w:w="100" w:type="dxa"/>
            </w:tcMar>
            <w:vAlign w:val="center"/>
          </w:tcPr>
          <w:p w14:paraId="54EE0C61" w14:textId="77777777" w:rsidR="008A34AE" w:rsidRDefault="00F35562">
            <w:pPr>
              <w:widowControl w:val="0"/>
              <w:spacing w:line="240" w:lineRule="auto"/>
              <w:contextualSpacing w:val="0"/>
              <w:jc w:val="center"/>
              <w:rPr>
                <w:color w:val="205968"/>
                <w:sz w:val="20"/>
                <w:szCs w:val="20"/>
              </w:rPr>
            </w:pPr>
            <w:r>
              <w:rPr>
                <w:color w:val="205968"/>
                <w:sz w:val="20"/>
                <w:szCs w:val="20"/>
              </w:rPr>
              <w:t>28,345</w:t>
            </w:r>
          </w:p>
        </w:tc>
        <w:tc>
          <w:tcPr>
            <w:tcW w:w="1134" w:type="dxa"/>
            <w:shd w:val="clear" w:color="auto" w:fill="93CDDC"/>
            <w:tcMar>
              <w:top w:w="100" w:type="dxa"/>
              <w:left w:w="100" w:type="dxa"/>
              <w:bottom w:w="100" w:type="dxa"/>
              <w:right w:w="100" w:type="dxa"/>
            </w:tcMar>
            <w:vAlign w:val="center"/>
          </w:tcPr>
          <w:p w14:paraId="4B5DD196" w14:textId="77777777" w:rsidR="008A34AE" w:rsidRDefault="00F35562">
            <w:pPr>
              <w:widowControl w:val="0"/>
              <w:spacing w:line="240" w:lineRule="auto"/>
              <w:contextualSpacing w:val="0"/>
              <w:jc w:val="center"/>
              <w:rPr>
                <w:color w:val="205968"/>
                <w:sz w:val="20"/>
                <w:szCs w:val="20"/>
              </w:rPr>
            </w:pPr>
            <w:r>
              <w:rPr>
                <w:color w:val="205968"/>
                <w:sz w:val="20"/>
                <w:szCs w:val="20"/>
              </w:rPr>
              <w:t>22,707</w:t>
            </w:r>
          </w:p>
        </w:tc>
        <w:tc>
          <w:tcPr>
            <w:tcW w:w="708" w:type="dxa"/>
            <w:shd w:val="clear" w:color="auto" w:fill="93CDDC"/>
            <w:tcMar>
              <w:top w:w="100" w:type="dxa"/>
              <w:left w:w="100" w:type="dxa"/>
              <w:bottom w:w="100" w:type="dxa"/>
              <w:right w:w="100" w:type="dxa"/>
            </w:tcMar>
            <w:vAlign w:val="center"/>
          </w:tcPr>
          <w:p w14:paraId="693E33FE" w14:textId="77777777" w:rsidR="008A34AE" w:rsidRDefault="00F35562">
            <w:pPr>
              <w:widowControl w:val="0"/>
              <w:spacing w:line="240" w:lineRule="auto"/>
              <w:contextualSpacing w:val="0"/>
              <w:jc w:val="center"/>
              <w:rPr>
                <w:color w:val="205968"/>
                <w:sz w:val="20"/>
                <w:szCs w:val="20"/>
              </w:rPr>
            </w:pPr>
            <w:r>
              <w:rPr>
                <w:color w:val="205968"/>
                <w:sz w:val="20"/>
                <w:szCs w:val="20"/>
              </w:rPr>
              <w:t>80</w:t>
            </w:r>
          </w:p>
        </w:tc>
        <w:tc>
          <w:tcPr>
            <w:tcW w:w="1701" w:type="dxa"/>
            <w:shd w:val="clear" w:color="auto" w:fill="B7DDE8"/>
            <w:tcMar>
              <w:top w:w="100" w:type="dxa"/>
              <w:left w:w="100" w:type="dxa"/>
              <w:bottom w:w="100" w:type="dxa"/>
              <w:right w:w="100" w:type="dxa"/>
            </w:tcMar>
            <w:vAlign w:val="center"/>
          </w:tcPr>
          <w:p w14:paraId="125D8293" w14:textId="77777777" w:rsidR="008A34AE" w:rsidRDefault="00F35562">
            <w:pPr>
              <w:widowControl w:val="0"/>
              <w:spacing w:line="240" w:lineRule="auto"/>
              <w:contextualSpacing w:val="0"/>
              <w:jc w:val="center"/>
              <w:rPr>
                <w:color w:val="205968"/>
                <w:sz w:val="20"/>
                <w:szCs w:val="20"/>
              </w:rPr>
            </w:pPr>
            <w:r>
              <w:rPr>
                <w:color w:val="205968"/>
                <w:sz w:val="20"/>
                <w:szCs w:val="20"/>
              </w:rPr>
              <w:t>$340,715,000</w:t>
            </w:r>
          </w:p>
        </w:tc>
        <w:tc>
          <w:tcPr>
            <w:tcW w:w="1099" w:type="dxa"/>
            <w:shd w:val="clear" w:color="auto" w:fill="93CDDC"/>
            <w:tcMar>
              <w:top w:w="100" w:type="dxa"/>
              <w:left w:w="100" w:type="dxa"/>
              <w:bottom w:w="100" w:type="dxa"/>
              <w:right w:w="100" w:type="dxa"/>
            </w:tcMar>
            <w:vAlign w:val="center"/>
          </w:tcPr>
          <w:p w14:paraId="2866F913" w14:textId="77777777" w:rsidR="008A34AE" w:rsidRDefault="00F35562">
            <w:pPr>
              <w:widowControl w:val="0"/>
              <w:spacing w:line="240" w:lineRule="auto"/>
              <w:contextualSpacing w:val="0"/>
              <w:jc w:val="center"/>
              <w:rPr>
                <w:color w:val="205968"/>
                <w:sz w:val="20"/>
                <w:szCs w:val="20"/>
              </w:rPr>
            </w:pPr>
            <w:r>
              <w:rPr>
                <w:color w:val="205968"/>
                <w:sz w:val="20"/>
                <w:szCs w:val="20"/>
              </w:rPr>
              <w:t>5,638</w:t>
            </w:r>
          </w:p>
        </w:tc>
        <w:tc>
          <w:tcPr>
            <w:tcW w:w="1130" w:type="dxa"/>
            <w:shd w:val="clear" w:color="auto" w:fill="93CDDC"/>
            <w:tcMar>
              <w:top w:w="100" w:type="dxa"/>
              <w:left w:w="100" w:type="dxa"/>
              <w:bottom w:w="100" w:type="dxa"/>
              <w:right w:w="100" w:type="dxa"/>
            </w:tcMar>
            <w:vAlign w:val="center"/>
          </w:tcPr>
          <w:p w14:paraId="116E262C" w14:textId="77777777" w:rsidR="008A34AE" w:rsidRDefault="00F35562">
            <w:pPr>
              <w:widowControl w:val="0"/>
              <w:spacing w:line="240" w:lineRule="auto"/>
              <w:contextualSpacing w:val="0"/>
              <w:jc w:val="center"/>
              <w:rPr>
                <w:color w:val="205968"/>
                <w:sz w:val="20"/>
                <w:szCs w:val="20"/>
              </w:rPr>
            </w:pPr>
            <w:r>
              <w:rPr>
                <w:color w:val="205968"/>
                <w:sz w:val="20"/>
                <w:szCs w:val="20"/>
              </w:rPr>
              <w:t>20</w:t>
            </w:r>
          </w:p>
        </w:tc>
        <w:tc>
          <w:tcPr>
            <w:tcW w:w="1740" w:type="dxa"/>
            <w:shd w:val="clear" w:color="auto" w:fill="B7DDE8"/>
            <w:tcMar>
              <w:top w:w="100" w:type="dxa"/>
              <w:left w:w="100" w:type="dxa"/>
              <w:bottom w:w="100" w:type="dxa"/>
              <w:right w:w="100" w:type="dxa"/>
            </w:tcMar>
            <w:vAlign w:val="center"/>
          </w:tcPr>
          <w:p w14:paraId="49BB1869" w14:textId="77777777" w:rsidR="008A34AE" w:rsidRDefault="00F35562">
            <w:pPr>
              <w:widowControl w:val="0"/>
              <w:spacing w:line="240" w:lineRule="auto"/>
              <w:contextualSpacing w:val="0"/>
              <w:jc w:val="center"/>
              <w:rPr>
                <w:color w:val="205968"/>
                <w:sz w:val="20"/>
                <w:szCs w:val="20"/>
              </w:rPr>
            </w:pPr>
            <w:r>
              <w:rPr>
                <w:color w:val="205968"/>
                <w:sz w:val="20"/>
                <w:szCs w:val="20"/>
              </w:rPr>
              <w:t>$676,560,000</w:t>
            </w:r>
          </w:p>
        </w:tc>
      </w:tr>
      <w:tr w:rsidR="008A34AE" w14:paraId="6359B414" w14:textId="77777777">
        <w:tc>
          <w:tcPr>
            <w:tcW w:w="1701" w:type="dxa"/>
            <w:shd w:val="clear" w:color="auto" w:fill="31849B"/>
            <w:tcMar>
              <w:top w:w="100" w:type="dxa"/>
              <w:left w:w="100" w:type="dxa"/>
              <w:bottom w:w="100" w:type="dxa"/>
              <w:right w:w="100" w:type="dxa"/>
            </w:tcMar>
            <w:vAlign w:val="center"/>
          </w:tcPr>
          <w:p w14:paraId="20B7DE0E" w14:textId="77777777" w:rsidR="008A34AE" w:rsidRDefault="00F35562">
            <w:pPr>
              <w:widowControl w:val="0"/>
              <w:spacing w:line="240" w:lineRule="auto"/>
              <w:contextualSpacing w:val="0"/>
              <w:rPr>
                <w:color w:val="FFFFFF"/>
                <w:sz w:val="20"/>
                <w:szCs w:val="20"/>
              </w:rPr>
            </w:pPr>
            <w:r>
              <w:rPr>
                <w:color w:val="FFFFFF"/>
                <w:sz w:val="20"/>
                <w:szCs w:val="20"/>
              </w:rPr>
              <w:t>Morelos</w:t>
            </w:r>
          </w:p>
        </w:tc>
        <w:tc>
          <w:tcPr>
            <w:tcW w:w="993" w:type="dxa"/>
            <w:shd w:val="clear" w:color="auto" w:fill="B7DDE8"/>
            <w:tcMar>
              <w:top w:w="100" w:type="dxa"/>
              <w:left w:w="100" w:type="dxa"/>
              <w:bottom w:w="100" w:type="dxa"/>
              <w:right w:w="100" w:type="dxa"/>
            </w:tcMar>
            <w:vAlign w:val="center"/>
          </w:tcPr>
          <w:p w14:paraId="48CE8811" w14:textId="77777777" w:rsidR="008A34AE" w:rsidRDefault="00F35562">
            <w:pPr>
              <w:widowControl w:val="0"/>
              <w:spacing w:line="240" w:lineRule="auto"/>
              <w:contextualSpacing w:val="0"/>
              <w:jc w:val="center"/>
              <w:rPr>
                <w:color w:val="205968"/>
                <w:sz w:val="20"/>
                <w:szCs w:val="20"/>
              </w:rPr>
            </w:pPr>
            <w:r>
              <w:rPr>
                <w:color w:val="205968"/>
                <w:sz w:val="20"/>
                <w:szCs w:val="20"/>
              </w:rPr>
              <w:t>15,801</w:t>
            </w:r>
          </w:p>
        </w:tc>
        <w:tc>
          <w:tcPr>
            <w:tcW w:w="1134" w:type="dxa"/>
            <w:shd w:val="clear" w:color="auto" w:fill="93CDDC"/>
            <w:tcMar>
              <w:top w:w="100" w:type="dxa"/>
              <w:left w:w="100" w:type="dxa"/>
              <w:bottom w:w="100" w:type="dxa"/>
              <w:right w:w="100" w:type="dxa"/>
            </w:tcMar>
            <w:vAlign w:val="center"/>
          </w:tcPr>
          <w:p w14:paraId="3646CADE" w14:textId="77777777" w:rsidR="008A34AE" w:rsidRDefault="00F35562">
            <w:pPr>
              <w:widowControl w:val="0"/>
              <w:spacing w:line="240" w:lineRule="auto"/>
              <w:contextualSpacing w:val="0"/>
              <w:jc w:val="center"/>
              <w:rPr>
                <w:color w:val="205968"/>
                <w:sz w:val="20"/>
                <w:szCs w:val="20"/>
              </w:rPr>
            </w:pPr>
            <w:r>
              <w:rPr>
                <w:color w:val="205968"/>
                <w:sz w:val="20"/>
                <w:szCs w:val="20"/>
              </w:rPr>
              <w:t>9,697</w:t>
            </w:r>
          </w:p>
        </w:tc>
        <w:tc>
          <w:tcPr>
            <w:tcW w:w="708" w:type="dxa"/>
            <w:shd w:val="clear" w:color="auto" w:fill="93CDDC"/>
            <w:tcMar>
              <w:top w:w="100" w:type="dxa"/>
              <w:left w:w="100" w:type="dxa"/>
              <w:bottom w:w="100" w:type="dxa"/>
              <w:right w:w="100" w:type="dxa"/>
            </w:tcMar>
            <w:vAlign w:val="center"/>
          </w:tcPr>
          <w:p w14:paraId="54E1868E" w14:textId="77777777" w:rsidR="008A34AE" w:rsidRDefault="00F35562">
            <w:pPr>
              <w:widowControl w:val="0"/>
              <w:spacing w:line="240" w:lineRule="auto"/>
              <w:contextualSpacing w:val="0"/>
              <w:jc w:val="center"/>
              <w:rPr>
                <w:color w:val="205968"/>
                <w:sz w:val="20"/>
                <w:szCs w:val="20"/>
              </w:rPr>
            </w:pPr>
            <w:r>
              <w:rPr>
                <w:color w:val="205968"/>
                <w:sz w:val="20"/>
                <w:szCs w:val="20"/>
              </w:rPr>
              <w:t>61</w:t>
            </w:r>
          </w:p>
        </w:tc>
        <w:tc>
          <w:tcPr>
            <w:tcW w:w="1701" w:type="dxa"/>
            <w:shd w:val="clear" w:color="auto" w:fill="B7DDE8"/>
            <w:tcMar>
              <w:top w:w="100" w:type="dxa"/>
              <w:left w:w="100" w:type="dxa"/>
              <w:bottom w:w="100" w:type="dxa"/>
              <w:right w:w="100" w:type="dxa"/>
            </w:tcMar>
            <w:vAlign w:val="center"/>
          </w:tcPr>
          <w:p w14:paraId="6AF3E29B" w14:textId="77777777" w:rsidR="008A34AE" w:rsidRDefault="00F35562">
            <w:pPr>
              <w:widowControl w:val="0"/>
              <w:spacing w:line="240" w:lineRule="auto"/>
              <w:contextualSpacing w:val="0"/>
              <w:jc w:val="center"/>
              <w:rPr>
                <w:color w:val="205968"/>
                <w:sz w:val="20"/>
                <w:szCs w:val="20"/>
              </w:rPr>
            </w:pPr>
            <w:r>
              <w:rPr>
                <w:color w:val="205968"/>
                <w:sz w:val="20"/>
                <w:szCs w:val="20"/>
              </w:rPr>
              <w:t>$145,461,000</w:t>
            </w:r>
          </w:p>
        </w:tc>
        <w:tc>
          <w:tcPr>
            <w:tcW w:w="1099" w:type="dxa"/>
            <w:shd w:val="clear" w:color="auto" w:fill="93CDDC"/>
            <w:tcMar>
              <w:top w:w="100" w:type="dxa"/>
              <w:left w:w="100" w:type="dxa"/>
              <w:bottom w:w="100" w:type="dxa"/>
              <w:right w:w="100" w:type="dxa"/>
            </w:tcMar>
            <w:vAlign w:val="center"/>
          </w:tcPr>
          <w:p w14:paraId="2949392A" w14:textId="77777777" w:rsidR="008A34AE" w:rsidRDefault="00F35562">
            <w:pPr>
              <w:widowControl w:val="0"/>
              <w:spacing w:line="240" w:lineRule="auto"/>
              <w:contextualSpacing w:val="0"/>
              <w:jc w:val="center"/>
              <w:rPr>
                <w:color w:val="205968"/>
                <w:sz w:val="20"/>
                <w:szCs w:val="20"/>
              </w:rPr>
            </w:pPr>
            <w:r>
              <w:rPr>
                <w:color w:val="205968"/>
                <w:sz w:val="20"/>
                <w:szCs w:val="20"/>
              </w:rPr>
              <w:t>6,104</w:t>
            </w:r>
          </w:p>
        </w:tc>
        <w:tc>
          <w:tcPr>
            <w:tcW w:w="1130" w:type="dxa"/>
            <w:shd w:val="clear" w:color="auto" w:fill="93CDDC"/>
            <w:tcMar>
              <w:top w:w="100" w:type="dxa"/>
              <w:left w:w="100" w:type="dxa"/>
              <w:bottom w:w="100" w:type="dxa"/>
              <w:right w:w="100" w:type="dxa"/>
            </w:tcMar>
            <w:vAlign w:val="center"/>
          </w:tcPr>
          <w:p w14:paraId="7922C69D" w14:textId="77777777" w:rsidR="008A34AE" w:rsidRDefault="00F35562">
            <w:pPr>
              <w:widowControl w:val="0"/>
              <w:spacing w:line="240" w:lineRule="auto"/>
              <w:contextualSpacing w:val="0"/>
              <w:jc w:val="center"/>
              <w:rPr>
                <w:color w:val="205968"/>
                <w:sz w:val="20"/>
                <w:szCs w:val="20"/>
              </w:rPr>
            </w:pPr>
            <w:r>
              <w:rPr>
                <w:color w:val="205968"/>
                <w:sz w:val="20"/>
                <w:szCs w:val="20"/>
              </w:rPr>
              <w:t>39</w:t>
            </w:r>
          </w:p>
        </w:tc>
        <w:tc>
          <w:tcPr>
            <w:tcW w:w="1740" w:type="dxa"/>
            <w:shd w:val="clear" w:color="auto" w:fill="B7DDE8"/>
            <w:tcMar>
              <w:top w:w="100" w:type="dxa"/>
              <w:left w:w="100" w:type="dxa"/>
              <w:bottom w:w="100" w:type="dxa"/>
              <w:right w:w="100" w:type="dxa"/>
            </w:tcMar>
            <w:vAlign w:val="center"/>
          </w:tcPr>
          <w:p w14:paraId="462A6461" w14:textId="77777777" w:rsidR="008A34AE" w:rsidRDefault="00F35562">
            <w:pPr>
              <w:widowControl w:val="0"/>
              <w:spacing w:line="240" w:lineRule="auto"/>
              <w:contextualSpacing w:val="0"/>
              <w:jc w:val="center"/>
              <w:rPr>
                <w:color w:val="205968"/>
                <w:sz w:val="20"/>
                <w:szCs w:val="20"/>
              </w:rPr>
            </w:pPr>
            <w:r>
              <w:rPr>
                <w:color w:val="205968"/>
                <w:sz w:val="20"/>
                <w:szCs w:val="20"/>
              </w:rPr>
              <w:t>$732,480,000</w:t>
            </w:r>
          </w:p>
        </w:tc>
      </w:tr>
      <w:tr w:rsidR="008A34AE" w14:paraId="6A6B1050" w14:textId="77777777">
        <w:tc>
          <w:tcPr>
            <w:tcW w:w="1701" w:type="dxa"/>
            <w:shd w:val="clear" w:color="auto" w:fill="31849B"/>
            <w:tcMar>
              <w:top w:w="100" w:type="dxa"/>
              <w:left w:w="100" w:type="dxa"/>
              <w:bottom w:w="100" w:type="dxa"/>
              <w:right w:w="100" w:type="dxa"/>
            </w:tcMar>
            <w:vAlign w:val="center"/>
          </w:tcPr>
          <w:p w14:paraId="035E511D" w14:textId="77777777" w:rsidR="008A34AE" w:rsidRDefault="00F35562">
            <w:pPr>
              <w:widowControl w:val="0"/>
              <w:spacing w:line="240" w:lineRule="auto"/>
              <w:contextualSpacing w:val="0"/>
              <w:rPr>
                <w:color w:val="FFFFFF"/>
                <w:sz w:val="20"/>
                <w:szCs w:val="20"/>
              </w:rPr>
            </w:pPr>
            <w:r>
              <w:rPr>
                <w:color w:val="FFFFFF"/>
                <w:sz w:val="20"/>
                <w:szCs w:val="20"/>
              </w:rPr>
              <w:t xml:space="preserve">Estado de México </w:t>
            </w:r>
          </w:p>
        </w:tc>
        <w:tc>
          <w:tcPr>
            <w:tcW w:w="993" w:type="dxa"/>
            <w:shd w:val="clear" w:color="auto" w:fill="B7DDE8"/>
            <w:tcMar>
              <w:top w:w="100" w:type="dxa"/>
              <w:left w:w="100" w:type="dxa"/>
              <w:bottom w:w="100" w:type="dxa"/>
              <w:right w:w="100" w:type="dxa"/>
            </w:tcMar>
            <w:vAlign w:val="center"/>
          </w:tcPr>
          <w:p w14:paraId="545A83F3" w14:textId="77777777" w:rsidR="008A34AE" w:rsidRDefault="00F35562">
            <w:pPr>
              <w:widowControl w:val="0"/>
              <w:spacing w:line="240" w:lineRule="auto"/>
              <w:contextualSpacing w:val="0"/>
              <w:jc w:val="center"/>
              <w:rPr>
                <w:color w:val="205968"/>
                <w:sz w:val="20"/>
                <w:szCs w:val="20"/>
              </w:rPr>
            </w:pPr>
            <w:r>
              <w:rPr>
                <w:color w:val="205968"/>
                <w:sz w:val="20"/>
                <w:szCs w:val="20"/>
              </w:rPr>
              <w:t>6,060</w:t>
            </w:r>
          </w:p>
        </w:tc>
        <w:tc>
          <w:tcPr>
            <w:tcW w:w="1134" w:type="dxa"/>
            <w:shd w:val="clear" w:color="auto" w:fill="93CDDC"/>
            <w:tcMar>
              <w:top w:w="100" w:type="dxa"/>
              <w:left w:w="100" w:type="dxa"/>
              <w:bottom w:w="100" w:type="dxa"/>
              <w:right w:w="100" w:type="dxa"/>
            </w:tcMar>
            <w:vAlign w:val="center"/>
          </w:tcPr>
          <w:p w14:paraId="2F84E6E2" w14:textId="77777777" w:rsidR="008A34AE" w:rsidRDefault="00F35562">
            <w:pPr>
              <w:widowControl w:val="0"/>
              <w:spacing w:line="240" w:lineRule="auto"/>
              <w:contextualSpacing w:val="0"/>
              <w:jc w:val="center"/>
              <w:rPr>
                <w:color w:val="205968"/>
                <w:sz w:val="20"/>
                <w:szCs w:val="20"/>
              </w:rPr>
            </w:pPr>
            <w:r>
              <w:rPr>
                <w:color w:val="205968"/>
                <w:sz w:val="20"/>
                <w:szCs w:val="20"/>
              </w:rPr>
              <w:t>3,358</w:t>
            </w:r>
          </w:p>
        </w:tc>
        <w:tc>
          <w:tcPr>
            <w:tcW w:w="708" w:type="dxa"/>
            <w:shd w:val="clear" w:color="auto" w:fill="93CDDC"/>
            <w:tcMar>
              <w:top w:w="100" w:type="dxa"/>
              <w:left w:w="100" w:type="dxa"/>
              <w:bottom w:w="100" w:type="dxa"/>
              <w:right w:w="100" w:type="dxa"/>
            </w:tcMar>
            <w:vAlign w:val="center"/>
          </w:tcPr>
          <w:p w14:paraId="189A2B45" w14:textId="77777777" w:rsidR="008A34AE" w:rsidRDefault="00F35562">
            <w:pPr>
              <w:widowControl w:val="0"/>
              <w:spacing w:line="240" w:lineRule="auto"/>
              <w:contextualSpacing w:val="0"/>
              <w:jc w:val="center"/>
              <w:rPr>
                <w:color w:val="205968"/>
                <w:sz w:val="20"/>
                <w:szCs w:val="20"/>
              </w:rPr>
            </w:pPr>
            <w:r>
              <w:rPr>
                <w:color w:val="205968"/>
                <w:sz w:val="20"/>
                <w:szCs w:val="20"/>
              </w:rPr>
              <w:t>55</w:t>
            </w:r>
          </w:p>
        </w:tc>
        <w:tc>
          <w:tcPr>
            <w:tcW w:w="1701" w:type="dxa"/>
            <w:shd w:val="clear" w:color="auto" w:fill="B7DDE8"/>
            <w:tcMar>
              <w:top w:w="100" w:type="dxa"/>
              <w:left w:w="100" w:type="dxa"/>
              <w:bottom w:w="100" w:type="dxa"/>
              <w:right w:w="100" w:type="dxa"/>
            </w:tcMar>
            <w:vAlign w:val="center"/>
          </w:tcPr>
          <w:p w14:paraId="6D7AAE43" w14:textId="77777777" w:rsidR="008A34AE" w:rsidRDefault="00F35562">
            <w:pPr>
              <w:widowControl w:val="0"/>
              <w:spacing w:line="240" w:lineRule="auto"/>
              <w:contextualSpacing w:val="0"/>
              <w:jc w:val="center"/>
              <w:rPr>
                <w:color w:val="205968"/>
                <w:sz w:val="20"/>
                <w:szCs w:val="20"/>
              </w:rPr>
            </w:pPr>
            <w:r>
              <w:rPr>
                <w:color w:val="205968"/>
                <w:sz w:val="20"/>
                <w:szCs w:val="20"/>
              </w:rPr>
              <w:t>$50,370,000</w:t>
            </w:r>
          </w:p>
        </w:tc>
        <w:tc>
          <w:tcPr>
            <w:tcW w:w="1099" w:type="dxa"/>
            <w:shd w:val="clear" w:color="auto" w:fill="93CDDC"/>
            <w:tcMar>
              <w:top w:w="100" w:type="dxa"/>
              <w:left w:w="100" w:type="dxa"/>
              <w:bottom w:w="100" w:type="dxa"/>
              <w:right w:w="100" w:type="dxa"/>
            </w:tcMar>
            <w:vAlign w:val="center"/>
          </w:tcPr>
          <w:p w14:paraId="167C2306" w14:textId="77777777" w:rsidR="008A34AE" w:rsidRDefault="00F35562">
            <w:pPr>
              <w:widowControl w:val="0"/>
              <w:spacing w:line="240" w:lineRule="auto"/>
              <w:contextualSpacing w:val="0"/>
              <w:jc w:val="center"/>
              <w:rPr>
                <w:color w:val="205968"/>
                <w:sz w:val="20"/>
                <w:szCs w:val="20"/>
              </w:rPr>
            </w:pPr>
            <w:r>
              <w:rPr>
                <w:color w:val="205968"/>
                <w:sz w:val="20"/>
                <w:szCs w:val="20"/>
              </w:rPr>
              <w:t>2,702</w:t>
            </w:r>
          </w:p>
        </w:tc>
        <w:tc>
          <w:tcPr>
            <w:tcW w:w="1130" w:type="dxa"/>
            <w:shd w:val="clear" w:color="auto" w:fill="93CDDC"/>
            <w:tcMar>
              <w:top w:w="100" w:type="dxa"/>
              <w:left w:w="100" w:type="dxa"/>
              <w:bottom w:w="100" w:type="dxa"/>
              <w:right w:w="100" w:type="dxa"/>
            </w:tcMar>
            <w:vAlign w:val="center"/>
          </w:tcPr>
          <w:p w14:paraId="33585933" w14:textId="77777777" w:rsidR="008A34AE" w:rsidRDefault="00F35562">
            <w:pPr>
              <w:widowControl w:val="0"/>
              <w:spacing w:line="240" w:lineRule="auto"/>
              <w:contextualSpacing w:val="0"/>
              <w:jc w:val="center"/>
              <w:rPr>
                <w:color w:val="205968"/>
                <w:sz w:val="20"/>
                <w:szCs w:val="20"/>
              </w:rPr>
            </w:pPr>
            <w:r>
              <w:rPr>
                <w:color w:val="205968"/>
                <w:sz w:val="20"/>
                <w:szCs w:val="20"/>
              </w:rPr>
              <w:t>45</w:t>
            </w:r>
          </w:p>
        </w:tc>
        <w:tc>
          <w:tcPr>
            <w:tcW w:w="1740" w:type="dxa"/>
            <w:shd w:val="clear" w:color="auto" w:fill="B7DDE8"/>
            <w:tcMar>
              <w:top w:w="100" w:type="dxa"/>
              <w:left w:w="100" w:type="dxa"/>
              <w:bottom w:w="100" w:type="dxa"/>
              <w:right w:w="100" w:type="dxa"/>
            </w:tcMar>
            <w:vAlign w:val="center"/>
          </w:tcPr>
          <w:p w14:paraId="5F62BFF5" w14:textId="77777777" w:rsidR="008A34AE" w:rsidRDefault="00F35562">
            <w:pPr>
              <w:widowControl w:val="0"/>
              <w:spacing w:line="240" w:lineRule="auto"/>
              <w:contextualSpacing w:val="0"/>
              <w:jc w:val="center"/>
              <w:rPr>
                <w:color w:val="205968"/>
                <w:sz w:val="20"/>
                <w:szCs w:val="20"/>
              </w:rPr>
            </w:pPr>
            <w:r>
              <w:rPr>
                <w:color w:val="205968"/>
                <w:sz w:val="20"/>
                <w:szCs w:val="20"/>
              </w:rPr>
              <w:t>$324,240,000</w:t>
            </w:r>
          </w:p>
        </w:tc>
      </w:tr>
      <w:tr w:rsidR="008A34AE" w14:paraId="36DBB4E6" w14:textId="77777777">
        <w:tc>
          <w:tcPr>
            <w:tcW w:w="1701" w:type="dxa"/>
            <w:shd w:val="clear" w:color="auto" w:fill="31849B"/>
            <w:tcMar>
              <w:top w:w="100" w:type="dxa"/>
              <w:left w:w="100" w:type="dxa"/>
              <w:bottom w:w="100" w:type="dxa"/>
              <w:right w:w="100" w:type="dxa"/>
            </w:tcMar>
            <w:vAlign w:val="center"/>
          </w:tcPr>
          <w:p w14:paraId="285DC600" w14:textId="77777777" w:rsidR="008A34AE" w:rsidRDefault="00F35562">
            <w:pPr>
              <w:widowControl w:val="0"/>
              <w:spacing w:line="240" w:lineRule="auto"/>
              <w:contextualSpacing w:val="0"/>
              <w:rPr>
                <w:color w:val="FFFFFF"/>
                <w:sz w:val="20"/>
                <w:szCs w:val="20"/>
              </w:rPr>
            </w:pPr>
            <w:r>
              <w:rPr>
                <w:color w:val="FFFFFF"/>
                <w:sz w:val="20"/>
                <w:szCs w:val="20"/>
              </w:rPr>
              <w:t>Ciudad de México</w:t>
            </w:r>
          </w:p>
        </w:tc>
        <w:tc>
          <w:tcPr>
            <w:tcW w:w="993" w:type="dxa"/>
            <w:shd w:val="clear" w:color="auto" w:fill="B7DDE8"/>
            <w:tcMar>
              <w:top w:w="100" w:type="dxa"/>
              <w:left w:w="100" w:type="dxa"/>
              <w:bottom w:w="100" w:type="dxa"/>
              <w:right w:w="100" w:type="dxa"/>
            </w:tcMar>
            <w:vAlign w:val="center"/>
          </w:tcPr>
          <w:p w14:paraId="3081A7EC" w14:textId="77777777" w:rsidR="008A34AE" w:rsidRDefault="00F35562">
            <w:pPr>
              <w:widowControl w:val="0"/>
              <w:spacing w:line="240" w:lineRule="auto"/>
              <w:contextualSpacing w:val="0"/>
              <w:jc w:val="center"/>
              <w:rPr>
                <w:color w:val="205968"/>
                <w:sz w:val="20"/>
                <w:szCs w:val="20"/>
              </w:rPr>
            </w:pPr>
            <w:r>
              <w:rPr>
                <w:color w:val="205968"/>
                <w:sz w:val="20"/>
                <w:szCs w:val="20"/>
              </w:rPr>
              <w:t>5,974</w:t>
            </w:r>
          </w:p>
        </w:tc>
        <w:tc>
          <w:tcPr>
            <w:tcW w:w="1134" w:type="dxa"/>
            <w:shd w:val="clear" w:color="auto" w:fill="93CDDC"/>
            <w:tcMar>
              <w:top w:w="100" w:type="dxa"/>
              <w:left w:w="100" w:type="dxa"/>
              <w:bottom w:w="100" w:type="dxa"/>
              <w:right w:w="100" w:type="dxa"/>
            </w:tcMar>
            <w:vAlign w:val="center"/>
          </w:tcPr>
          <w:p w14:paraId="7913CBDE" w14:textId="77777777" w:rsidR="008A34AE" w:rsidRDefault="00F35562">
            <w:pPr>
              <w:widowControl w:val="0"/>
              <w:spacing w:line="240" w:lineRule="auto"/>
              <w:contextualSpacing w:val="0"/>
              <w:jc w:val="center"/>
              <w:rPr>
                <w:color w:val="205968"/>
                <w:sz w:val="20"/>
                <w:szCs w:val="20"/>
              </w:rPr>
            </w:pPr>
            <w:r>
              <w:rPr>
                <w:color w:val="205968"/>
                <w:sz w:val="20"/>
                <w:szCs w:val="20"/>
              </w:rPr>
              <w:t>3,623</w:t>
            </w:r>
          </w:p>
        </w:tc>
        <w:tc>
          <w:tcPr>
            <w:tcW w:w="708" w:type="dxa"/>
            <w:shd w:val="clear" w:color="auto" w:fill="93CDDC"/>
            <w:tcMar>
              <w:top w:w="100" w:type="dxa"/>
              <w:left w:w="100" w:type="dxa"/>
              <w:bottom w:w="100" w:type="dxa"/>
              <w:right w:w="100" w:type="dxa"/>
            </w:tcMar>
            <w:vAlign w:val="center"/>
          </w:tcPr>
          <w:p w14:paraId="0780FA44" w14:textId="77777777" w:rsidR="008A34AE" w:rsidRDefault="00F35562">
            <w:pPr>
              <w:widowControl w:val="0"/>
              <w:spacing w:line="240" w:lineRule="auto"/>
              <w:contextualSpacing w:val="0"/>
              <w:jc w:val="center"/>
              <w:rPr>
                <w:color w:val="205968"/>
                <w:sz w:val="20"/>
                <w:szCs w:val="20"/>
              </w:rPr>
            </w:pPr>
            <w:r>
              <w:rPr>
                <w:color w:val="205968"/>
                <w:sz w:val="20"/>
                <w:szCs w:val="20"/>
              </w:rPr>
              <w:t>61</w:t>
            </w:r>
          </w:p>
        </w:tc>
        <w:tc>
          <w:tcPr>
            <w:tcW w:w="1701" w:type="dxa"/>
            <w:shd w:val="clear" w:color="auto" w:fill="B7DDE8"/>
            <w:tcMar>
              <w:top w:w="100" w:type="dxa"/>
              <w:left w:w="100" w:type="dxa"/>
              <w:bottom w:w="100" w:type="dxa"/>
              <w:right w:w="100" w:type="dxa"/>
            </w:tcMar>
            <w:vAlign w:val="center"/>
          </w:tcPr>
          <w:p w14:paraId="7A0DA47E" w14:textId="77777777" w:rsidR="008A34AE" w:rsidRDefault="00F35562">
            <w:pPr>
              <w:widowControl w:val="0"/>
              <w:spacing w:line="240" w:lineRule="auto"/>
              <w:contextualSpacing w:val="0"/>
              <w:jc w:val="center"/>
              <w:rPr>
                <w:color w:val="205968"/>
                <w:sz w:val="20"/>
                <w:szCs w:val="20"/>
              </w:rPr>
            </w:pPr>
            <w:r>
              <w:rPr>
                <w:color w:val="205968"/>
                <w:sz w:val="20"/>
                <w:szCs w:val="20"/>
              </w:rPr>
              <w:t>$54,345,000</w:t>
            </w:r>
          </w:p>
        </w:tc>
        <w:tc>
          <w:tcPr>
            <w:tcW w:w="1099" w:type="dxa"/>
            <w:shd w:val="clear" w:color="auto" w:fill="93CDDC"/>
            <w:tcMar>
              <w:top w:w="100" w:type="dxa"/>
              <w:left w:w="100" w:type="dxa"/>
              <w:bottom w:w="100" w:type="dxa"/>
              <w:right w:w="100" w:type="dxa"/>
            </w:tcMar>
            <w:vAlign w:val="center"/>
          </w:tcPr>
          <w:p w14:paraId="786C72E7" w14:textId="77777777" w:rsidR="008A34AE" w:rsidRDefault="00F35562">
            <w:pPr>
              <w:widowControl w:val="0"/>
              <w:spacing w:line="240" w:lineRule="auto"/>
              <w:contextualSpacing w:val="0"/>
              <w:jc w:val="center"/>
              <w:rPr>
                <w:color w:val="205968"/>
                <w:sz w:val="20"/>
                <w:szCs w:val="20"/>
              </w:rPr>
            </w:pPr>
            <w:r>
              <w:rPr>
                <w:color w:val="205968"/>
                <w:sz w:val="20"/>
                <w:szCs w:val="20"/>
              </w:rPr>
              <w:t>2,351</w:t>
            </w:r>
          </w:p>
        </w:tc>
        <w:tc>
          <w:tcPr>
            <w:tcW w:w="1130" w:type="dxa"/>
            <w:shd w:val="clear" w:color="auto" w:fill="93CDDC"/>
            <w:tcMar>
              <w:top w:w="100" w:type="dxa"/>
              <w:left w:w="100" w:type="dxa"/>
              <w:bottom w:w="100" w:type="dxa"/>
              <w:right w:w="100" w:type="dxa"/>
            </w:tcMar>
            <w:vAlign w:val="center"/>
          </w:tcPr>
          <w:p w14:paraId="7380EEF1" w14:textId="77777777" w:rsidR="008A34AE" w:rsidRDefault="00F35562">
            <w:pPr>
              <w:widowControl w:val="0"/>
              <w:spacing w:line="240" w:lineRule="auto"/>
              <w:contextualSpacing w:val="0"/>
              <w:jc w:val="center"/>
              <w:rPr>
                <w:color w:val="205968"/>
                <w:sz w:val="20"/>
                <w:szCs w:val="20"/>
              </w:rPr>
            </w:pPr>
            <w:r>
              <w:rPr>
                <w:color w:val="205968"/>
                <w:sz w:val="20"/>
                <w:szCs w:val="20"/>
              </w:rPr>
              <w:t>39</w:t>
            </w:r>
          </w:p>
        </w:tc>
        <w:tc>
          <w:tcPr>
            <w:tcW w:w="1740" w:type="dxa"/>
            <w:shd w:val="clear" w:color="auto" w:fill="B7DDE8"/>
            <w:tcMar>
              <w:top w:w="100" w:type="dxa"/>
              <w:left w:w="100" w:type="dxa"/>
              <w:bottom w:w="100" w:type="dxa"/>
              <w:right w:w="100" w:type="dxa"/>
            </w:tcMar>
            <w:vAlign w:val="center"/>
          </w:tcPr>
          <w:p w14:paraId="345B8A77" w14:textId="77777777" w:rsidR="008A34AE" w:rsidRDefault="00F35562">
            <w:pPr>
              <w:widowControl w:val="0"/>
              <w:spacing w:line="240" w:lineRule="auto"/>
              <w:contextualSpacing w:val="0"/>
              <w:jc w:val="center"/>
              <w:rPr>
                <w:color w:val="205968"/>
                <w:sz w:val="20"/>
                <w:szCs w:val="20"/>
              </w:rPr>
            </w:pPr>
            <w:r>
              <w:rPr>
                <w:color w:val="205968"/>
                <w:sz w:val="20"/>
                <w:szCs w:val="20"/>
              </w:rPr>
              <w:t>$282,120,000</w:t>
            </w:r>
          </w:p>
        </w:tc>
      </w:tr>
      <w:tr w:rsidR="008A34AE" w14:paraId="25F4EF49" w14:textId="77777777">
        <w:tc>
          <w:tcPr>
            <w:tcW w:w="1701" w:type="dxa"/>
            <w:shd w:val="clear" w:color="auto" w:fill="31849B"/>
            <w:tcMar>
              <w:top w:w="100" w:type="dxa"/>
              <w:left w:w="100" w:type="dxa"/>
              <w:bottom w:w="100" w:type="dxa"/>
              <w:right w:w="100" w:type="dxa"/>
            </w:tcMar>
            <w:vAlign w:val="center"/>
          </w:tcPr>
          <w:p w14:paraId="25B7A1D7" w14:textId="77777777" w:rsidR="008A34AE" w:rsidRDefault="00F35562">
            <w:pPr>
              <w:widowControl w:val="0"/>
              <w:spacing w:line="240" w:lineRule="auto"/>
              <w:contextualSpacing w:val="0"/>
              <w:rPr>
                <w:color w:val="FFFFFF"/>
                <w:sz w:val="20"/>
                <w:szCs w:val="20"/>
              </w:rPr>
            </w:pPr>
            <w:r>
              <w:rPr>
                <w:color w:val="FFFFFF"/>
                <w:sz w:val="20"/>
                <w:szCs w:val="20"/>
              </w:rPr>
              <w:t>Guerrero</w:t>
            </w:r>
          </w:p>
        </w:tc>
        <w:tc>
          <w:tcPr>
            <w:tcW w:w="993" w:type="dxa"/>
            <w:shd w:val="clear" w:color="auto" w:fill="B7DDE8"/>
            <w:tcMar>
              <w:top w:w="100" w:type="dxa"/>
              <w:left w:w="100" w:type="dxa"/>
              <w:bottom w:w="100" w:type="dxa"/>
              <w:right w:w="100" w:type="dxa"/>
            </w:tcMar>
            <w:vAlign w:val="center"/>
          </w:tcPr>
          <w:p w14:paraId="10C8771F" w14:textId="77777777" w:rsidR="008A34AE" w:rsidRDefault="00F35562">
            <w:pPr>
              <w:widowControl w:val="0"/>
              <w:spacing w:line="240" w:lineRule="auto"/>
              <w:contextualSpacing w:val="0"/>
              <w:jc w:val="center"/>
              <w:rPr>
                <w:color w:val="205968"/>
                <w:sz w:val="20"/>
                <w:szCs w:val="20"/>
              </w:rPr>
            </w:pPr>
            <w:r>
              <w:rPr>
                <w:color w:val="205968"/>
                <w:sz w:val="20"/>
                <w:szCs w:val="20"/>
              </w:rPr>
              <w:t>3,928</w:t>
            </w:r>
          </w:p>
        </w:tc>
        <w:tc>
          <w:tcPr>
            <w:tcW w:w="1134" w:type="dxa"/>
            <w:shd w:val="clear" w:color="auto" w:fill="93CDDC"/>
            <w:tcMar>
              <w:top w:w="100" w:type="dxa"/>
              <w:left w:w="100" w:type="dxa"/>
              <w:bottom w:w="100" w:type="dxa"/>
              <w:right w:w="100" w:type="dxa"/>
            </w:tcMar>
            <w:vAlign w:val="center"/>
          </w:tcPr>
          <w:p w14:paraId="758E94B5" w14:textId="77777777" w:rsidR="008A34AE" w:rsidRDefault="00F35562">
            <w:pPr>
              <w:widowControl w:val="0"/>
              <w:spacing w:line="240" w:lineRule="auto"/>
              <w:contextualSpacing w:val="0"/>
              <w:jc w:val="center"/>
              <w:rPr>
                <w:color w:val="205968"/>
                <w:sz w:val="20"/>
                <w:szCs w:val="20"/>
              </w:rPr>
            </w:pPr>
            <w:r>
              <w:rPr>
                <w:color w:val="205968"/>
                <w:sz w:val="20"/>
                <w:szCs w:val="20"/>
              </w:rPr>
              <w:t>1,443</w:t>
            </w:r>
          </w:p>
        </w:tc>
        <w:tc>
          <w:tcPr>
            <w:tcW w:w="708" w:type="dxa"/>
            <w:shd w:val="clear" w:color="auto" w:fill="93CDDC"/>
            <w:tcMar>
              <w:top w:w="100" w:type="dxa"/>
              <w:left w:w="100" w:type="dxa"/>
              <w:bottom w:w="100" w:type="dxa"/>
              <w:right w:w="100" w:type="dxa"/>
            </w:tcMar>
            <w:vAlign w:val="center"/>
          </w:tcPr>
          <w:p w14:paraId="79EBE9A6" w14:textId="77777777" w:rsidR="008A34AE" w:rsidRDefault="00F35562">
            <w:pPr>
              <w:widowControl w:val="0"/>
              <w:spacing w:line="240" w:lineRule="auto"/>
              <w:contextualSpacing w:val="0"/>
              <w:jc w:val="center"/>
              <w:rPr>
                <w:color w:val="205968"/>
                <w:sz w:val="20"/>
                <w:szCs w:val="20"/>
              </w:rPr>
            </w:pPr>
            <w:r>
              <w:rPr>
                <w:color w:val="205968"/>
                <w:sz w:val="20"/>
                <w:szCs w:val="20"/>
              </w:rPr>
              <w:t>37</w:t>
            </w:r>
          </w:p>
        </w:tc>
        <w:tc>
          <w:tcPr>
            <w:tcW w:w="1701" w:type="dxa"/>
            <w:shd w:val="clear" w:color="auto" w:fill="B7DDE8"/>
            <w:tcMar>
              <w:top w:w="100" w:type="dxa"/>
              <w:left w:w="100" w:type="dxa"/>
              <w:bottom w:w="100" w:type="dxa"/>
              <w:right w:w="100" w:type="dxa"/>
            </w:tcMar>
            <w:vAlign w:val="center"/>
          </w:tcPr>
          <w:p w14:paraId="6A6F75EB" w14:textId="77777777" w:rsidR="008A34AE" w:rsidRDefault="00F35562">
            <w:pPr>
              <w:widowControl w:val="0"/>
              <w:spacing w:line="240" w:lineRule="auto"/>
              <w:contextualSpacing w:val="0"/>
              <w:jc w:val="center"/>
              <w:rPr>
                <w:color w:val="205968"/>
                <w:sz w:val="20"/>
                <w:szCs w:val="20"/>
              </w:rPr>
            </w:pPr>
            <w:r>
              <w:rPr>
                <w:color w:val="205968"/>
                <w:sz w:val="20"/>
                <w:szCs w:val="20"/>
              </w:rPr>
              <w:t>$21,645,000</w:t>
            </w:r>
          </w:p>
        </w:tc>
        <w:tc>
          <w:tcPr>
            <w:tcW w:w="1099" w:type="dxa"/>
            <w:shd w:val="clear" w:color="auto" w:fill="93CDDC"/>
            <w:tcMar>
              <w:top w:w="100" w:type="dxa"/>
              <w:left w:w="100" w:type="dxa"/>
              <w:bottom w:w="100" w:type="dxa"/>
              <w:right w:w="100" w:type="dxa"/>
            </w:tcMar>
            <w:vAlign w:val="center"/>
          </w:tcPr>
          <w:p w14:paraId="510BB8DF" w14:textId="77777777" w:rsidR="008A34AE" w:rsidRDefault="00F35562">
            <w:pPr>
              <w:widowControl w:val="0"/>
              <w:spacing w:line="240" w:lineRule="auto"/>
              <w:contextualSpacing w:val="0"/>
              <w:jc w:val="center"/>
              <w:rPr>
                <w:color w:val="205968"/>
                <w:sz w:val="20"/>
                <w:szCs w:val="20"/>
              </w:rPr>
            </w:pPr>
            <w:r>
              <w:rPr>
                <w:color w:val="205968"/>
                <w:sz w:val="20"/>
                <w:szCs w:val="20"/>
              </w:rPr>
              <w:t>2,485</w:t>
            </w:r>
          </w:p>
        </w:tc>
        <w:tc>
          <w:tcPr>
            <w:tcW w:w="1130" w:type="dxa"/>
            <w:shd w:val="clear" w:color="auto" w:fill="93CDDC"/>
            <w:tcMar>
              <w:top w:w="100" w:type="dxa"/>
              <w:left w:w="100" w:type="dxa"/>
              <w:bottom w:w="100" w:type="dxa"/>
              <w:right w:w="100" w:type="dxa"/>
            </w:tcMar>
            <w:vAlign w:val="center"/>
          </w:tcPr>
          <w:p w14:paraId="49C0308E" w14:textId="77777777" w:rsidR="008A34AE" w:rsidRDefault="00F35562">
            <w:pPr>
              <w:widowControl w:val="0"/>
              <w:spacing w:line="240" w:lineRule="auto"/>
              <w:contextualSpacing w:val="0"/>
              <w:jc w:val="center"/>
              <w:rPr>
                <w:color w:val="205968"/>
                <w:sz w:val="20"/>
                <w:szCs w:val="20"/>
              </w:rPr>
            </w:pPr>
            <w:r>
              <w:rPr>
                <w:color w:val="205968"/>
                <w:sz w:val="20"/>
                <w:szCs w:val="20"/>
              </w:rPr>
              <w:t>63</w:t>
            </w:r>
          </w:p>
        </w:tc>
        <w:tc>
          <w:tcPr>
            <w:tcW w:w="1740" w:type="dxa"/>
            <w:shd w:val="clear" w:color="auto" w:fill="B7DDE8"/>
            <w:tcMar>
              <w:top w:w="100" w:type="dxa"/>
              <w:left w:w="100" w:type="dxa"/>
              <w:bottom w:w="100" w:type="dxa"/>
              <w:right w:w="100" w:type="dxa"/>
            </w:tcMar>
            <w:vAlign w:val="center"/>
          </w:tcPr>
          <w:p w14:paraId="6D13A6DA" w14:textId="77777777" w:rsidR="008A34AE" w:rsidRDefault="00F35562">
            <w:pPr>
              <w:widowControl w:val="0"/>
              <w:spacing w:line="240" w:lineRule="auto"/>
              <w:contextualSpacing w:val="0"/>
              <w:jc w:val="center"/>
              <w:rPr>
                <w:color w:val="205968"/>
                <w:sz w:val="20"/>
                <w:szCs w:val="20"/>
              </w:rPr>
            </w:pPr>
            <w:r>
              <w:rPr>
                <w:color w:val="205968"/>
                <w:sz w:val="20"/>
                <w:szCs w:val="20"/>
              </w:rPr>
              <w:t>$298,200,000</w:t>
            </w:r>
          </w:p>
        </w:tc>
      </w:tr>
      <w:tr w:rsidR="008A34AE" w14:paraId="3BC9D74D" w14:textId="77777777">
        <w:tc>
          <w:tcPr>
            <w:tcW w:w="1701" w:type="dxa"/>
            <w:shd w:val="clear" w:color="auto" w:fill="31849B"/>
            <w:tcMar>
              <w:top w:w="100" w:type="dxa"/>
              <w:left w:w="100" w:type="dxa"/>
              <w:bottom w:w="100" w:type="dxa"/>
              <w:right w:w="100" w:type="dxa"/>
            </w:tcMar>
            <w:vAlign w:val="center"/>
          </w:tcPr>
          <w:p w14:paraId="408C8130" w14:textId="77777777" w:rsidR="008A34AE" w:rsidRDefault="00F35562">
            <w:pPr>
              <w:widowControl w:val="0"/>
              <w:spacing w:line="240" w:lineRule="auto"/>
              <w:contextualSpacing w:val="0"/>
              <w:rPr>
                <w:color w:val="FFFFFF"/>
                <w:sz w:val="20"/>
                <w:szCs w:val="20"/>
              </w:rPr>
            </w:pPr>
            <w:r>
              <w:rPr>
                <w:color w:val="FFFFFF"/>
                <w:sz w:val="20"/>
                <w:szCs w:val="20"/>
              </w:rPr>
              <w:t>Veracruz</w:t>
            </w:r>
          </w:p>
        </w:tc>
        <w:tc>
          <w:tcPr>
            <w:tcW w:w="993" w:type="dxa"/>
            <w:shd w:val="clear" w:color="auto" w:fill="B7DDE8"/>
            <w:tcMar>
              <w:top w:w="100" w:type="dxa"/>
              <w:left w:w="100" w:type="dxa"/>
              <w:bottom w:w="100" w:type="dxa"/>
              <w:right w:w="100" w:type="dxa"/>
            </w:tcMar>
            <w:vAlign w:val="center"/>
          </w:tcPr>
          <w:p w14:paraId="6944D4B8" w14:textId="77777777" w:rsidR="008A34AE" w:rsidRDefault="00F35562">
            <w:pPr>
              <w:widowControl w:val="0"/>
              <w:spacing w:line="240" w:lineRule="auto"/>
              <w:contextualSpacing w:val="0"/>
              <w:jc w:val="center"/>
              <w:rPr>
                <w:color w:val="205968"/>
                <w:sz w:val="20"/>
                <w:szCs w:val="20"/>
              </w:rPr>
            </w:pPr>
            <w:r>
              <w:rPr>
                <w:color w:val="205968"/>
                <w:sz w:val="20"/>
                <w:szCs w:val="20"/>
              </w:rPr>
              <w:t>Sin datos</w:t>
            </w:r>
          </w:p>
        </w:tc>
        <w:tc>
          <w:tcPr>
            <w:tcW w:w="1134" w:type="dxa"/>
            <w:shd w:val="clear" w:color="auto" w:fill="93CDDC"/>
            <w:tcMar>
              <w:top w:w="100" w:type="dxa"/>
              <w:left w:w="100" w:type="dxa"/>
              <w:bottom w:w="100" w:type="dxa"/>
              <w:right w:w="100" w:type="dxa"/>
            </w:tcMar>
            <w:vAlign w:val="center"/>
          </w:tcPr>
          <w:p w14:paraId="10A17F39" w14:textId="77777777" w:rsidR="008A34AE" w:rsidRDefault="00F35562">
            <w:pPr>
              <w:widowControl w:val="0"/>
              <w:spacing w:line="240" w:lineRule="auto"/>
              <w:contextualSpacing w:val="0"/>
              <w:jc w:val="center"/>
              <w:rPr>
                <w:color w:val="205968"/>
                <w:sz w:val="20"/>
                <w:szCs w:val="20"/>
              </w:rPr>
            </w:pPr>
            <w:r>
              <w:rPr>
                <w:color w:val="205968"/>
                <w:sz w:val="20"/>
                <w:szCs w:val="20"/>
              </w:rPr>
              <w:t>Sin datos</w:t>
            </w:r>
          </w:p>
        </w:tc>
        <w:tc>
          <w:tcPr>
            <w:tcW w:w="708" w:type="dxa"/>
            <w:shd w:val="clear" w:color="auto" w:fill="93CDDC"/>
            <w:tcMar>
              <w:top w:w="100" w:type="dxa"/>
              <w:left w:w="100" w:type="dxa"/>
              <w:bottom w:w="100" w:type="dxa"/>
              <w:right w:w="100" w:type="dxa"/>
            </w:tcMar>
            <w:vAlign w:val="center"/>
          </w:tcPr>
          <w:p w14:paraId="1E9A6229" w14:textId="77777777" w:rsidR="008A34AE" w:rsidRDefault="00F35562">
            <w:pPr>
              <w:widowControl w:val="0"/>
              <w:spacing w:line="240" w:lineRule="auto"/>
              <w:contextualSpacing w:val="0"/>
              <w:jc w:val="center"/>
              <w:rPr>
                <w:color w:val="205968"/>
                <w:sz w:val="20"/>
                <w:szCs w:val="20"/>
              </w:rPr>
            </w:pPr>
            <w:r>
              <w:rPr>
                <w:color w:val="205968"/>
                <w:sz w:val="20"/>
                <w:szCs w:val="20"/>
              </w:rPr>
              <w:t>N/A</w:t>
            </w:r>
          </w:p>
        </w:tc>
        <w:tc>
          <w:tcPr>
            <w:tcW w:w="1701" w:type="dxa"/>
            <w:shd w:val="clear" w:color="auto" w:fill="B7DDE8"/>
            <w:tcMar>
              <w:top w:w="100" w:type="dxa"/>
              <w:left w:w="100" w:type="dxa"/>
              <w:bottom w:w="100" w:type="dxa"/>
              <w:right w:w="100" w:type="dxa"/>
            </w:tcMar>
            <w:vAlign w:val="center"/>
          </w:tcPr>
          <w:p w14:paraId="23B47811" w14:textId="77777777" w:rsidR="008A34AE" w:rsidRDefault="00F35562">
            <w:pPr>
              <w:widowControl w:val="0"/>
              <w:spacing w:line="240" w:lineRule="auto"/>
              <w:contextualSpacing w:val="0"/>
              <w:jc w:val="center"/>
              <w:rPr>
                <w:color w:val="205968"/>
                <w:sz w:val="20"/>
                <w:szCs w:val="20"/>
              </w:rPr>
            </w:pPr>
            <w:r>
              <w:rPr>
                <w:color w:val="205968"/>
                <w:sz w:val="20"/>
                <w:szCs w:val="20"/>
              </w:rPr>
              <w:t>Sin datos</w:t>
            </w:r>
          </w:p>
        </w:tc>
        <w:tc>
          <w:tcPr>
            <w:tcW w:w="1099" w:type="dxa"/>
            <w:shd w:val="clear" w:color="auto" w:fill="93CDDC"/>
            <w:tcMar>
              <w:top w:w="100" w:type="dxa"/>
              <w:left w:w="100" w:type="dxa"/>
              <w:bottom w:w="100" w:type="dxa"/>
              <w:right w:w="100" w:type="dxa"/>
            </w:tcMar>
            <w:vAlign w:val="center"/>
          </w:tcPr>
          <w:p w14:paraId="5D6EEE5A" w14:textId="77777777" w:rsidR="008A34AE" w:rsidRDefault="00F35562">
            <w:pPr>
              <w:widowControl w:val="0"/>
              <w:spacing w:line="240" w:lineRule="auto"/>
              <w:contextualSpacing w:val="0"/>
              <w:jc w:val="center"/>
              <w:rPr>
                <w:color w:val="205968"/>
                <w:sz w:val="20"/>
                <w:szCs w:val="20"/>
              </w:rPr>
            </w:pPr>
            <w:r>
              <w:rPr>
                <w:color w:val="205968"/>
                <w:sz w:val="20"/>
                <w:szCs w:val="20"/>
              </w:rPr>
              <w:t>Sin datos</w:t>
            </w:r>
          </w:p>
        </w:tc>
        <w:tc>
          <w:tcPr>
            <w:tcW w:w="1130" w:type="dxa"/>
            <w:shd w:val="clear" w:color="auto" w:fill="93CDDC"/>
            <w:tcMar>
              <w:top w:w="100" w:type="dxa"/>
              <w:left w:w="100" w:type="dxa"/>
              <w:bottom w:w="100" w:type="dxa"/>
              <w:right w:w="100" w:type="dxa"/>
            </w:tcMar>
            <w:vAlign w:val="center"/>
          </w:tcPr>
          <w:p w14:paraId="03BAEC28" w14:textId="77777777" w:rsidR="008A34AE" w:rsidRDefault="00F35562">
            <w:pPr>
              <w:widowControl w:val="0"/>
              <w:spacing w:line="240" w:lineRule="auto"/>
              <w:contextualSpacing w:val="0"/>
              <w:jc w:val="center"/>
              <w:rPr>
                <w:color w:val="205968"/>
                <w:sz w:val="20"/>
                <w:szCs w:val="20"/>
              </w:rPr>
            </w:pPr>
            <w:r>
              <w:rPr>
                <w:color w:val="205968"/>
                <w:sz w:val="20"/>
                <w:szCs w:val="20"/>
              </w:rPr>
              <w:t>N/A</w:t>
            </w:r>
          </w:p>
        </w:tc>
        <w:tc>
          <w:tcPr>
            <w:tcW w:w="1740" w:type="dxa"/>
            <w:shd w:val="clear" w:color="auto" w:fill="B7DDE8"/>
            <w:tcMar>
              <w:top w:w="100" w:type="dxa"/>
              <w:left w:w="100" w:type="dxa"/>
              <w:bottom w:w="100" w:type="dxa"/>
              <w:right w:w="100" w:type="dxa"/>
            </w:tcMar>
            <w:vAlign w:val="center"/>
          </w:tcPr>
          <w:p w14:paraId="35027EDE" w14:textId="77777777" w:rsidR="008A34AE" w:rsidRDefault="00F35562">
            <w:pPr>
              <w:widowControl w:val="0"/>
              <w:spacing w:line="240" w:lineRule="auto"/>
              <w:contextualSpacing w:val="0"/>
              <w:jc w:val="center"/>
              <w:rPr>
                <w:color w:val="205968"/>
                <w:sz w:val="20"/>
                <w:szCs w:val="20"/>
              </w:rPr>
            </w:pPr>
            <w:r>
              <w:rPr>
                <w:color w:val="205968"/>
                <w:sz w:val="20"/>
                <w:szCs w:val="20"/>
              </w:rPr>
              <w:t>Sin datos</w:t>
            </w:r>
          </w:p>
        </w:tc>
      </w:tr>
      <w:tr w:rsidR="008A34AE" w14:paraId="1C5F8A0B" w14:textId="77777777">
        <w:tc>
          <w:tcPr>
            <w:tcW w:w="1701" w:type="dxa"/>
            <w:shd w:val="clear" w:color="auto" w:fill="205968"/>
            <w:tcMar>
              <w:top w:w="100" w:type="dxa"/>
              <w:left w:w="100" w:type="dxa"/>
              <w:bottom w:w="100" w:type="dxa"/>
              <w:right w:w="100" w:type="dxa"/>
            </w:tcMar>
          </w:tcPr>
          <w:p w14:paraId="495577D8" w14:textId="77777777" w:rsidR="008A34AE" w:rsidRDefault="00F35562">
            <w:pPr>
              <w:widowControl w:val="0"/>
              <w:spacing w:line="240" w:lineRule="auto"/>
              <w:contextualSpacing w:val="0"/>
              <w:rPr>
                <w:b/>
                <w:color w:val="FFFFFF"/>
                <w:sz w:val="20"/>
                <w:szCs w:val="20"/>
              </w:rPr>
            </w:pPr>
            <w:r>
              <w:rPr>
                <w:b/>
                <w:color w:val="FFFFFF"/>
                <w:sz w:val="20"/>
                <w:szCs w:val="20"/>
              </w:rPr>
              <w:t>Total</w:t>
            </w:r>
          </w:p>
        </w:tc>
        <w:tc>
          <w:tcPr>
            <w:tcW w:w="993" w:type="dxa"/>
            <w:shd w:val="clear" w:color="auto" w:fill="205968"/>
            <w:tcMar>
              <w:top w:w="100" w:type="dxa"/>
              <w:left w:w="100" w:type="dxa"/>
              <w:bottom w:w="100" w:type="dxa"/>
              <w:right w:w="100" w:type="dxa"/>
            </w:tcMar>
            <w:vAlign w:val="center"/>
          </w:tcPr>
          <w:p w14:paraId="6EE36F42" w14:textId="77777777" w:rsidR="008A34AE" w:rsidRDefault="00F35562">
            <w:pPr>
              <w:contextualSpacing w:val="0"/>
              <w:jc w:val="center"/>
              <w:rPr>
                <w:b/>
                <w:color w:val="FFFFFF"/>
                <w:sz w:val="20"/>
                <w:szCs w:val="20"/>
              </w:rPr>
            </w:pPr>
            <w:r>
              <w:rPr>
                <w:b/>
                <w:color w:val="FFFFFF"/>
                <w:sz w:val="20"/>
                <w:szCs w:val="20"/>
              </w:rPr>
              <w:t>172,026</w:t>
            </w:r>
          </w:p>
        </w:tc>
        <w:tc>
          <w:tcPr>
            <w:tcW w:w="1134" w:type="dxa"/>
            <w:shd w:val="clear" w:color="auto" w:fill="205968"/>
            <w:tcMar>
              <w:top w:w="100" w:type="dxa"/>
              <w:left w:w="100" w:type="dxa"/>
              <w:bottom w:w="100" w:type="dxa"/>
              <w:right w:w="100" w:type="dxa"/>
            </w:tcMar>
            <w:vAlign w:val="center"/>
          </w:tcPr>
          <w:p w14:paraId="2630365B" w14:textId="77777777" w:rsidR="008A34AE" w:rsidRDefault="00F35562">
            <w:pPr>
              <w:contextualSpacing w:val="0"/>
              <w:jc w:val="center"/>
              <w:rPr>
                <w:b/>
                <w:color w:val="FFFFFF"/>
                <w:sz w:val="20"/>
                <w:szCs w:val="20"/>
              </w:rPr>
            </w:pPr>
            <w:r>
              <w:rPr>
                <w:b/>
                <w:color w:val="FFFFFF"/>
                <w:sz w:val="20"/>
                <w:szCs w:val="20"/>
              </w:rPr>
              <w:t>111,628</w:t>
            </w:r>
          </w:p>
        </w:tc>
        <w:tc>
          <w:tcPr>
            <w:tcW w:w="708" w:type="dxa"/>
            <w:shd w:val="clear" w:color="auto" w:fill="205968"/>
            <w:tcMar>
              <w:top w:w="100" w:type="dxa"/>
              <w:left w:w="100" w:type="dxa"/>
              <w:bottom w:w="100" w:type="dxa"/>
              <w:right w:w="100" w:type="dxa"/>
            </w:tcMar>
            <w:vAlign w:val="center"/>
          </w:tcPr>
          <w:p w14:paraId="22A212CF" w14:textId="77777777" w:rsidR="008A34AE" w:rsidRDefault="00F35562">
            <w:pPr>
              <w:contextualSpacing w:val="0"/>
              <w:jc w:val="center"/>
              <w:rPr>
                <w:b/>
                <w:color w:val="FFFFFF"/>
                <w:sz w:val="20"/>
                <w:szCs w:val="20"/>
              </w:rPr>
            </w:pPr>
            <w:r>
              <w:rPr>
                <w:b/>
                <w:color w:val="FFFFFF"/>
                <w:sz w:val="20"/>
                <w:szCs w:val="20"/>
              </w:rPr>
              <w:t>65</w:t>
            </w:r>
          </w:p>
        </w:tc>
        <w:tc>
          <w:tcPr>
            <w:tcW w:w="1701" w:type="dxa"/>
            <w:shd w:val="clear" w:color="auto" w:fill="205968"/>
            <w:tcMar>
              <w:top w:w="100" w:type="dxa"/>
              <w:left w:w="100" w:type="dxa"/>
              <w:bottom w:w="100" w:type="dxa"/>
              <w:right w:w="100" w:type="dxa"/>
            </w:tcMar>
            <w:vAlign w:val="center"/>
          </w:tcPr>
          <w:p w14:paraId="3EB84932" w14:textId="77777777" w:rsidR="008A34AE" w:rsidRDefault="00F35562">
            <w:pPr>
              <w:contextualSpacing w:val="0"/>
              <w:jc w:val="center"/>
              <w:rPr>
                <w:b/>
                <w:color w:val="FFFFFF"/>
                <w:sz w:val="20"/>
                <w:szCs w:val="20"/>
              </w:rPr>
            </w:pPr>
            <w:r>
              <w:rPr>
                <w:b/>
                <w:color w:val="FFFFFF"/>
                <w:sz w:val="20"/>
                <w:szCs w:val="20"/>
              </w:rPr>
              <w:t>$1,672,710,000</w:t>
            </w:r>
          </w:p>
        </w:tc>
        <w:tc>
          <w:tcPr>
            <w:tcW w:w="1099" w:type="dxa"/>
            <w:shd w:val="clear" w:color="auto" w:fill="205968"/>
            <w:tcMar>
              <w:top w:w="100" w:type="dxa"/>
              <w:left w:w="100" w:type="dxa"/>
              <w:bottom w:w="100" w:type="dxa"/>
              <w:right w:w="100" w:type="dxa"/>
            </w:tcMar>
            <w:vAlign w:val="center"/>
          </w:tcPr>
          <w:p w14:paraId="3EDCCD45" w14:textId="77777777" w:rsidR="008A34AE" w:rsidRDefault="00F35562">
            <w:pPr>
              <w:contextualSpacing w:val="0"/>
              <w:jc w:val="center"/>
              <w:rPr>
                <w:b/>
                <w:color w:val="FFFFFF"/>
                <w:sz w:val="20"/>
                <w:szCs w:val="20"/>
              </w:rPr>
            </w:pPr>
            <w:r>
              <w:rPr>
                <w:b/>
                <w:color w:val="FFFFFF"/>
                <w:sz w:val="20"/>
                <w:szCs w:val="20"/>
              </w:rPr>
              <w:t>60,398</w:t>
            </w:r>
          </w:p>
        </w:tc>
        <w:tc>
          <w:tcPr>
            <w:tcW w:w="1130" w:type="dxa"/>
            <w:shd w:val="clear" w:color="auto" w:fill="205968"/>
            <w:tcMar>
              <w:top w:w="100" w:type="dxa"/>
              <w:left w:w="100" w:type="dxa"/>
              <w:bottom w:w="100" w:type="dxa"/>
              <w:right w:w="100" w:type="dxa"/>
            </w:tcMar>
            <w:vAlign w:val="center"/>
          </w:tcPr>
          <w:p w14:paraId="37BB9C32" w14:textId="77777777" w:rsidR="008A34AE" w:rsidRDefault="00F35562">
            <w:pPr>
              <w:contextualSpacing w:val="0"/>
              <w:jc w:val="center"/>
              <w:rPr>
                <w:b/>
                <w:color w:val="FFFFFF"/>
                <w:sz w:val="20"/>
                <w:szCs w:val="20"/>
              </w:rPr>
            </w:pPr>
            <w:r>
              <w:rPr>
                <w:b/>
                <w:color w:val="FFFFFF"/>
                <w:sz w:val="20"/>
                <w:szCs w:val="20"/>
              </w:rPr>
              <w:t>35</w:t>
            </w:r>
          </w:p>
        </w:tc>
        <w:tc>
          <w:tcPr>
            <w:tcW w:w="1740" w:type="dxa"/>
            <w:shd w:val="clear" w:color="auto" w:fill="205968"/>
            <w:tcMar>
              <w:top w:w="100" w:type="dxa"/>
              <w:left w:w="100" w:type="dxa"/>
              <w:bottom w:w="100" w:type="dxa"/>
              <w:right w:w="100" w:type="dxa"/>
            </w:tcMar>
            <w:vAlign w:val="center"/>
          </w:tcPr>
          <w:p w14:paraId="3363F29F" w14:textId="77777777" w:rsidR="008A34AE" w:rsidRDefault="00F35562">
            <w:pPr>
              <w:contextualSpacing w:val="0"/>
              <w:jc w:val="center"/>
              <w:rPr>
                <w:b/>
                <w:color w:val="FFFFFF"/>
                <w:sz w:val="20"/>
                <w:szCs w:val="20"/>
              </w:rPr>
            </w:pPr>
            <w:r>
              <w:rPr>
                <w:b/>
                <w:color w:val="FFFFFF"/>
                <w:sz w:val="20"/>
                <w:szCs w:val="20"/>
              </w:rPr>
              <w:t>$7,244,750,000</w:t>
            </w:r>
          </w:p>
        </w:tc>
      </w:tr>
    </w:tbl>
    <w:p w14:paraId="183F7807" w14:textId="77777777" w:rsidR="008A34AE" w:rsidRDefault="00F35562">
      <w:pPr>
        <w:spacing w:line="240" w:lineRule="auto"/>
        <w:contextualSpacing w:val="0"/>
        <w:jc w:val="both"/>
        <w:rPr>
          <w:b/>
          <w:color w:val="FF0000"/>
          <w:sz w:val="16"/>
          <w:szCs w:val="16"/>
        </w:rPr>
      </w:pPr>
      <w:r>
        <w:rPr>
          <w:b/>
          <w:color w:val="595959"/>
          <w:sz w:val="16"/>
          <w:szCs w:val="16"/>
        </w:rPr>
        <w:t>Fuente:</w:t>
      </w:r>
      <w:r>
        <w:rPr>
          <w:color w:val="595959"/>
          <w:sz w:val="16"/>
          <w:szCs w:val="16"/>
        </w:rPr>
        <w:t xml:space="preserve"> Elaboración propia con información del </w:t>
      </w:r>
      <w:r w:rsidRPr="00FB1F89">
        <w:rPr>
          <w:rFonts w:eastAsia="Verdana"/>
          <w:color w:val="595959"/>
          <w:sz w:val="16"/>
          <w:szCs w:val="16"/>
        </w:rPr>
        <w:t xml:space="preserve">Estadístico Viviendas Dañadas por Tipo </w:t>
      </w:r>
      <w:r w:rsidR="0035358B" w:rsidRPr="00FB1F89">
        <w:rPr>
          <w:rFonts w:eastAsia="Verdana"/>
          <w:color w:val="595959"/>
          <w:sz w:val="16"/>
          <w:szCs w:val="16"/>
        </w:rPr>
        <w:t xml:space="preserve">de </w:t>
      </w:r>
      <w:r w:rsidRPr="00FB1F89">
        <w:rPr>
          <w:rFonts w:eastAsia="Verdana"/>
          <w:color w:val="595959"/>
          <w:sz w:val="16"/>
          <w:szCs w:val="16"/>
        </w:rPr>
        <w:t>Afectación y Monto de Apoyo</w:t>
      </w:r>
      <w:r>
        <w:rPr>
          <w:rFonts w:ascii="Verdana" w:eastAsia="Verdana" w:hAnsi="Verdana" w:cs="Verdana"/>
          <w:color w:val="595959"/>
          <w:sz w:val="16"/>
          <w:szCs w:val="16"/>
        </w:rPr>
        <w:t xml:space="preserve"> </w:t>
      </w:r>
      <w:r w:rsidR="0035358B">
        <w:rPr>
          <w:color w:val="595959"/>
          <w:sz w:val="16"/>
          <w:szCs w:val="16"/>
        </w:rPr>
        <w:t>realizada</w:t>
      </w:r>
      <w:r>
        <w:rPr>
          <w:color w:val="595959"/>
          <w:sz w:val="16"/>
          <w:szCs w:val="16"/>
        </w:rPr>
        <w:t xml:space="preserve"> por SEDATU, disponible en </w:t>
      </w:r>
      <w:hyperlink r:id="rId8">
        <w:r>
          <w:rPr>
            <w:color w:val="1155CC"/>
            <w:sz w:val="16"/>
            <w:szCs w:val="16"/>
            <w:u w:val="single"/>
          </w:rPr>
          <w:t>http://transparencia.sedatu.gob.mx/#</w:t>
        </w:r>
      </w:hyperlink>
      <w:r w:rsidR="0035358B">
        <w:rPr>
          <w:color w:val="595959"/>
          <w:sz w:val="16"/>
          <w:szCs w:val="16"/>
        </w:rPr>
        <w:t>. C</w:t>
      </w:r>
      <w:r>
        <w:rPr>
          <w:color w:val="595959"/>
          <w:sz w:val="16"/>
          <w:szCs w:val="16"/>
        </w:rPr>
        <w:t xml:space="preserve">onsultado el 5 de septiembre de 2018. </w:t>
      </w:r>
    </w:p>
    <w:p w14:paraId="55EC6894" w14:textId="77777777" w:rsidR="008A34AE" w:rsidRDefault="008A34AE">
      <w:pPr>
        <w:contextualSpacing w:val="0"/>
        <w:jc w:val="both"/>
        <w:rPr>
          <w:color w:val="FF0000"/>
          <w:highlight w:val="green"/>
        </w:rPr>
      </w:pPr>
    </w:p>
    <w:p w14:paraId="6974CCE8" w14:textId="77777777" w:rsidR="008A34AE" w:rsidRDefault="00F35562" w:rsidP="00ED16E8">
      <w:pPr>
        <w:ind w:firstLine="720"/>
        <w:contextualSpacing w:val="0"/>
        <w:jc w:val="both"/>
        <w:rPr>
          <w:color w:val="595959"/>
        </w:rPr>
      </w:pPr>
      <w:r>
        <w:rPr>
          <w:color w:val="595959"/>
        </w:rPr>
        <w:t xml:space="preserve">Por otro lado, si se toma como válida la información sobre la distribución de recursos por sector indicada en </w:t>
      </w:r>
      <w:r>
        <w:rPr>
          <w:color w:val="595959"/>
          <w:sz w:val="20"/>
          <w:szCs w:val="20"/>
        </w:rPr>
        <w:t>FM-TP</w:t>
      </w:r>
      <w:r>
        <w:rPr>
          <w:color w:val="595959"/>
        </w:rPr>
        <w:t>, se señala que a</w:t>
      </w:r>
      <w:r w:rsidR="00EB780C">
        <w:rPr>
          <w:color w:val="595959"/>
        </w:rPr>
        <w:t>l Sector</w:t>
      </w:r>
      <w:r>
        <w:rPr>
          <w:color w:val="595959"/>
        </w:rPr>
        <w:t xml:space="preserve"> </w:t>
      </w:r>
      <w:r w:rsidRPr="00ED16E8">
        <w:rPr>
          <w:color w:val="595959"/>
        </w:rPr>
        <w:t>Vivienda</w:t>
      </w:r>
      <w:r>
        <w:rPr>
          <w:color w:val="595959"/>
        </w:rPr>
        <w:t xml:space="preserve"> se le destinaron </w:t>
      </w:r>
      <w:r>
        <w:rPr>
          <w:color w:val="595959"/>
          <w:highlight w:val="white"/>
        </w:rPr>
        <w:t xml:space="preserve">$10,049,939,028 pesos. Por su parte, el estadístico de la </w:t>
      </w:r>
      <w:r>
        <w:rPr>
          <w:color w:val="595959"/>
          <w:sz w:val="20"/>
          <w:szCs w:val="20"/>
          <w:highlight w:val="white"/>
        </w:rPr>
        <w:t>SEDATU</w:t>
      </w:r>
      <w:r>
        <w:rPr>
          <w:color w:val="595959"/>
          <w:highlight w:val="white"/>
        </w:rPr>
        <w:t xml:space="preserve"> indica una distribución de apoyos por </w:t>
      </w:r>
      <w:r>
        <w:rPr>
          <w:color w:val="595959"/>
        </w:rPr>
        <w:t xml:space="preserve">$8,917,460,000.00, es decir, casi 89%. </w:t>
      </w:r>
    </w:p>
    <w:p w14:paraId="40E5C3A3" w14:textId="5ABB663E" w:rsidR="008A34AE" w:rsidRDefault="00F35562">
      <w:pPr>
        <w:contextualSpacing w:val="0"/>
        <w:jc w:val="both"/>
        <w:rPr>
          <w:color w:val="595959"/>
        </w:rPr>
      </w:pPr>
      <w:r>
        <w:rPr>
          <w:color w:val="595959"/>
        </w:rPr>
        <w:tab/>
        <w:t xml:space="preserve">Dicho lo anterior, el </w:t>
      </w:r>
      <w:r>
        <w:rPr>
          <w:i/>
          <w:color w:val="595959"/>
        </w:rPr>
        <w:t>Sexto Informe de Gobierno</w:t>
      </w:r>
      <w:r>
        <w:rPr>
          <w:color w:val="595959"/>
        </w:rPr>
        <w:t xml:space="preserve"> de la administración que concluye este año reportó un avance de 96% de los recursos entregados para apoyo de viviendas a cargo del </w:t>
      </w:r>
      <w:r>
        <w:rPr>
          <w:color w:val="595959"/>
          <w:sz w:val="20"/>
          <w:szCs w:val="20"/>
        </w:rPr>
        <w:t>FONDEN</w:t>
      </w:r>
      <w:r>
        <w:rPr>
          <w:color w:val="595959"/>
        </w:rPr>
        <w:t xml:space="preserve">. Esta estimación se realizó con base en lo indicado en el estadístico de </w:t>
      </w:r>
      <w:r>
        <w:rPr>
          <w:color w:val="595959"/>
          <w:sz w:val="20"/>
          <w:szCs w:val="20"/>
        </w:rPr>
        <w:t>SEDATU</w:t>
      </w:r>
      <w:r>
        <w:rPr>
          <w:color w:val="595959"/>
        </w:rPr>
        <w:t xml:space="preserve"> y afirma que, hasta junio de 2018, 164,455 titulares de viviendas dañadas habían recibido, a través de tarjetas, apoyos monetarios y para materiales. No obstante, si esta cifra se contrasta con la base de datos de</w:t>
      </w:r>
      <w:r w:rsidR="000C266A">
        <w:rPr>
          <w:color w:val="595959"/>
        </w:rPr>
        <w:t>l</w:t>
      </w:r>
      <w:r>
        <w:rPr>
          <w:color w:val="595959"/>
        </w:rPr>
        <w:t xml:space="preserve"> </w:t>
      </w:r>
      <w:r>
        <w:rPr>
          <w:color w:val="595959"/>
          <w:sz w:val="20"/>
          <w:szCs w:val="20"/>
        </w:rPr>
        <w:t>BANSEFI</w:t>
      </w:r>
      <w:r>
        <w:rPr>
          <w:color w:val="595959"/>
        </w:rPr>
        <w:t>, s</w:t>
      </w:r>
      <w:r w:rsidR="00EB780C">
        <w:rPr>
          <w:color w:val="595959"/>
        </w:rPr>
        <w:t>o</w:t>
      </w:r>
      <w:r>
        <w:rPr>
          <w:color w:val="595959"/>
        </w:rPr>
        <w:t xml:space="preserve">lo se habría cubierto 86% de viviendas afectadas. </w:t>
      </w:r>
    </w:p>
    <w:p w14:paraId="498F1882" w14:textId="77777777" w:rsidR="008A34AE" w:rsidRDefault="00F35562">
      <w:pPr>
        <w:ind w:firstLine="720"/>
        <w:contextualSpacing w:val="0"/>
        <w:jc w:val="both"/>
        <w:rPr>
          <w:color w:val="595959"/>
        </w:rPr>
      </w:pPr>
      <w:r>
        <w:rPr>
          <w:color w:val="595959"/>
        </w:rPr>
        <w:t xml:space="preserve">También en el </w:t>
      </w:r>
      <w:r>
        <w:rPr>
          <w:i/>
          <w:color w:val="595959"/>
        </w:rPr>
        <w:t>Sexto Informe de Gobierno</w:t>
      </w:r>
      <w:r>
        <w:rPr>
          <w:color w:val="595959"/>
        </w:rPr>
        <w:t xml:space="preserve"> se </w:t>
      </w:r>
      <w:r w:rsidR="00EB780C">
        <w:rPr>
          <w:color w:val="595959"/>
        </w:rPr>
        <w:t>señaló</w:t>
      </w:r>
      <w:r>
        <w:rPr>
          <w:color w:val="595959"/>
        </w:rPr>
        <w:t xml:space="preserve"> la identificación de 111,628 viviendas con daños parciales y 59,867 viviendas con pérdida total. El primer dato sí coincide con el estadístico de </w:t>
      </w:r>
      <w:r>
        <w:rPr>
          <w:color w:val="595959"/>
          <w:sz w:val="20"/>
          <w:szCs w:val="20"/>
        </w:rPr>
        <w:t>SEDATU</w:t>
      </w:r>
      <w:r>
        <w:rPr>
          <w:color w:val="595959"/>
        </w:rPr>
        <w:t xml:space="preserve">, pero el segundo dato no, y ambas cifras no son consistentes con la información en la base de datos del </w:t>
      </w:r>
      <w:r>
        <w:rPr>
          <w:color w:val="595959"/>
          <w:sz w:val="20"/>
          <w:szCs w:val="20"/>
        </w:rPr>
        <w:t>BANSEFI</w:t>
      </w:r>
      <w:r>
        <w:rPr>
          <w:color w:val="595959"/>
        </w:rPr>
        <w:t>, ¿cuál fue la fuente entonces?</w:t>
      </w:r>
    </w:p>
    <w:p w14:paraId="11AC1A55" w14:textId="77777777" w:rsidR="008A34AE" w:rsidRDefault="00F35562">
      <w:pPr>
        <w:contextualSpacing w:val="0"/>
        <w:jc w:val="both"/>
        <w:rPr>
          <w:color w:val="595959"/>
        </w:rPr>
      </w:pPr>
      <w:r>
        <w:rPr>
          <w:color w:val="595959"/>
        </w:rPr>
        <w:tab/>
      </w:r>
      <w:r w:rsidR="00EB780C">
        <w:rPr>
          <w:color w:val="595959"/>
        </w:rPr>
        <w:t>Por</w:t>
      </w:r>
      <w:r>
        <w:rPr>
          <w:color w:val="595959"/>
        </w:rPr>
        <w:t xml:space="preserve"> lo anterior</w:t>
      </w:r>
      <w:r w:rsidR="00EB780C">
        <w:rPr>
          <w:color w:val="595959"/>
        </w:rPr>
        <w:t>,</w:t>
      </w:r>
      <w:r>
        <w:rPr>
          <w:color w:val="595959"/>
        </w:rPr>
        <w:t xml:space="preserve"> surgen otras interrogantes que, con la diversidad de cifras y montos, y sin los documentos que describen la racionalidad detrás de las decisiones tomadas (o no), continúan vigentes y son básicas: ¿cuántas personas </w:t>
      </w:r>
      <w:r w:rsidR="00EB780C">
        <w:rPr>
          <w:color w:val="595959"/>
        </w:rPr>
        <w:t>siguen</w:t>
      </w:r>
      <w:r>
        <w:rPr>
          <w:color w:val="595959"/>
        </w:rPr>
        <w:t xml:space="preserve"> sin recibir ningún apoyo?</w:t>
      </w:r>
      <w:r w:rsidR="00EB780C">
        <w:rPr>
          <w:color w:val="595959"/>
        </w:rPr>
        <w:t>,</w:t>
      </w:r>
      <w:r>
        <w:rPr>
          <w:color w:val="595959"/>
        </w:rPr>
        <w:t xml:space="preserve"> ¿cuántas viviendas se han reconstruido?</w:t>
      </w:r>
      <w:r w:rsidR="00EB780C">
        <w:rPr>
          <w:color w:val="595959"/>
        </w:rPr>
        <w:t>,</w:t>
      </w:r>
      <w:r>
        <w:rPr>
          <w:color w:val="595959"/>
        </w:rPr>
        <w:t xml:space="preserve"> ¿cómo se puede comprobar que los recursos entregados fueron recibidos por las personas que lo requerían?</w:t>
      </w:r>
      <w:r w:rsidR="00EB780C">
        <w:rPr>
          <w:color w:val="595959"/>
        </w:rPr>
        <w:t>,</w:t>
      </w:r>
      <w:r>
        <w:rPr>
          <w:color w:val="595959"/>
        </w:rPr>
        <w:t xml:space="preserve"> ¿la proporción de entrega de apoyos es consistente con el avance de las obras de reconstrucción de las viviendas? </w:t>
      </w:r>
    </w:p>
    <w:p w14:paraId="127ADFF6" w14:textId="283C31B4" w:rsidR="008A34AE" w:rsidRDefault="00F35562" w:rsidP="00F80677">
      <w:pPr>
        <w:pStyle w:val="Ttulo2"/>
        <w:rPr>
          <w:highlight w:val="white"/>
        </w:rPr>
      </w:pPr>
      <w:bookmarkStart w:id="5" w:name="_Toc524361284"/>
      <w:r>
        <w:rPr>
          <w:highlight w:val="white"/>
        </w:rPr>
        <w:t xml:space="preserve">Sector Monumentos </w:t>
      </w:r>
      <w:r w:rsidR="000C266A">
        <w:rPr>
          <w:highlight w:val="white"/>
        </w:rPr>
        <w:t>A</w:t>
      </w:r>
      <w:r>
        <w:rPr>
          <w:highlight w:val="white"/>
        </w:rPr>
        <w:t xml:space="preserve">rqueológicos, </w:t>
      </w:r>
      <w:r w:rsidR="000C266A">
        <w:rPr>
          <w:highlight w:val="white"/>
        </w:rPr>
        <w:t>A</w:t>
      </w:r>
      <w:r>
        <w:rPr>
          <w:highlight w:val="white"/>
        </w:rPr>
        <w:t xml:space="preserve">rtísticos e </w:t>
      </w:r>
      <w:r w:rsidR="000C266A">
        <w:rPr>
          <w:highlight w:val="white"/>
        </w:rPr>
        <w:t>H</w:t>
      </w:r>
      <w:r>
        <w:rPr>
          <w:highlight w:val="white"/>
        </w:rPr>
        <w:t>istóricos</w:t>
      </w:r>
      <w:bookmarkEnd w:id="5"/>
    </w:p>
    <w:p w14:paraId="0EEE92DF" w14:textId="3C5EEB8B" w:rsidR="008A34AE" w:rsidRDefault="00F35562" w:rsidP="00F35562">
      <w:pPr>
        <w:widowControl w:val="0"/>
        <w:contextualSpacing w:val="0"/>
        <w:jc w:val="both"/>
        <w:rPr>
          <w:color w:val="595959"/>
          <w:highlight w:val="white"/>
        </w:rPr>
      </w:pPr>
      <w:r>
        <w:rPr>
          <w:color w:val="595959"/>
          <w:highlight w:val="white"/>
        </w:rPr>
        <w:t xml:space="preserve">El portal FM-TP indica que la tercera mayor distribución de recursos fue para la </w:t>
      </w:r>
      <w:r>
        <w:rPr>
          <w:color w:val="595959"/>
          <w:highlight w:val="white"/>
        </w:rPr>
        <w:lastRenderedPageBreak/>
        <w:t xml:space="preserve">recuperación de monumentos </w:t>
      </w:r>
      <w:r w:rsidR="007F67F0">
        <w:rPr>
          <w:color w:val="595959"/>
          <w:highlight w:val="white"/>
        </w:rPr>
        <w:t xml:space="preserve">tanto </w:t>
      </w:r>
      <w:r>
        <w:rPr>
          <w:color w:val="595959"/>
          <w:highlight w:val="white"/>
        </w:rPr>
        <w:t xml:space="preserve">arqueológicos, </w:t>
      </w:r>
      <w:r w:rsidR="007F67F0">
        <w:rPr>
          <w:color w:val="595959"/>
          <w:highlight w:val="white"/>
        </w:rPr>
        <w:t xml:space="preserve">como </w:t>
      </w:r>
      <w:r>
        <w:rPr>
          <w:color w:val="595959"/>
          <w:highlight w:val="white"/>
        </w:rPr>
        <w:t xml:space="preserve">artísticos e históricos con poco más de 6 mil millones de pesos. Al respecto, la base de datos publicada por la Secretaría de Cultura, actualizada por última vez en mayo de 2018, reportó 2,694 registros de recintos afectados por los sismos. Las cinco entidades con mayores afectaciones a su patrimonio cultural, histórico y arqueológico, según los datos oficiales, fueron Oaxaca, Puebla, Morelos, Estado de México y Ciudad de México. Los monumentos históricos representaron 88% del patrimonio dañado. La distribución por entidad federativa y tipo de infraestructura dañada se sintetiza en la tabla </w:t>
      </w:r>
      <w:r>
        <w:rPr>
          <w:color w:val="595959"/>
        </w:rPr>
        <w:t>5</w:t>
      </w:r>
      <w:r>
        <w:rPr>
          <w:color w:val="595959"/>
          <w:highlight w:val="white"/>
        </w:rPr>
        <w:t xml:space="preserve">. </w:t>
      </w:r>
    </w:p>
    <w:p w14:paraId="718538D2" w14:textId="77777777" w:rsidR="008A34AE" w:rsidRDefault="008A34AE">
      <w:pPr>
        <w:widowControl w:val="0"/>
        <w:contextualSpacing w:val="0"/>
        <w:jc w:val="both"/>
        <w:rPr>
          <w:color w:val="FF0000"/>
          <w:highlight w:val="white"/>
        </w:rPr>
      </w:pPr>
    </w:p>
    <w:p w14:paraId="1EE1B8E4" w14:textId="77777777" w:rsidR="008A34AE" w:rsidRDefault="00F35562">
      <w:pPr>
        <w:widowControl w:val="0"/>
        <w:contextualSpacing w:val="0"/>
        <w:jc w:val="center"/>
        <w:rPr>
          <w:b/>
          <w:color w:val="FF0000"/>
          <w:highlight w:val="white"/>
        </w:rPr>
      </w:pPr>
      <w:r>
        <w:rPr>
          <w:b/>
          <w:color w:val="595959"/>
          <w:highlight w:val="white"/>
        </w:rPr>
        <w:t xml:space="preserve">Tabla </w:t>
      </w:r>
      <w:r>
        <w:rPr>
          <w:b/>
          <w:color w:val="595959"/>
        </w:rPr>
        <w:t>5.</w:t>
      </w:r>
      <w:r>
        <w:rPr>
          <w:b/>
          <w:color w:val="595959"/>
          <w:highlight w:val="white"/>
        </w:rPr>
        <w:t xml:space="preserve"> Patrimonio cultural, histórico y arqueológico dañado por entidad federativa </w:t>
      </w:r>
    </w:p>
    <w:tbl>
      <w:tblPr>
        <w:tblStyle w:val="a3"/>
        <w:tblW w:w="90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990"/>
        <w:gridCol w:w="1605"/>
        <w:gridCol w:w="1605"/>
        <w:gridCol w:w="1575"/>
        <w:gridCol w:w="1425"/>
      </w:tblGrid>
      <w:tr w:rsidR="008A34AE" w14:paraId="2578716D" w14:textId="77777777" w:rsidTr="00F35562">
        <w:trPr>
          <w:tblHeader/>
        </w:trPr>
        <w:tc>
          <w:tcPr>
            <w:tcW w:w="1815" w:type="dxa"/>
            <w:shd w:val="clear" w:color="auto" w:fill="205968"/>
            <w:tcMar>
              <w:top w:w="100" w:type="dxa"/>
              <w:left w:w="100" w:type="dxa"/>
              <w:bottom w:w="100" w:type="dxa"/>
              <w:right w:w="100" w:type="dxa"/>
            </w:tcMar>
            <w:vAlign w:val="center"/>
          </w:tcPr>
          <w:p w14:paraId="547ECC2F" w14:textId="77777777" w:rsidR="008A34AE" w:rsidRDefault="00F35562">
            <w:pPr>
              <w:widowControl w:val="0"/>
              <w:pBdr>
                <w:top w:val="nil"/>
                <w:left w:val="nil"/>
                <w:bottom w:val="nil"/>
                <w:right w:val="nil"/>
                <w:between w:val="nil"/>
              </w:pBdr>
              <w:spacing w:line="240" w:lineRule="auto"/>
              <w:contextualSpacing w:val="0"/>
              <w:jc w:val="center"/>
              <w:rPr>
                <w:b/>
                <w:color w:val="FFFFFF"/>
                <w:sz w:val="20"/>
                <w:szCs w:val="20"/>
              </w:rPr>
            </w:pPr>
            <w:r>
              <w:rPr>
                <w:b/>
                <w:color w:val="FFFFFF"/>
                <w:sz w:val="20"/>
                <w:szCs w:val="20"/>
              </w:rPr>
              <w:t>Entidad federativa</w:t>
            </w:r>
          </w:p>
        </w:tc>
        <w:tc>
          <w:tcPr>
            <w:tcW w:w="990" w:type="dxa"/>
            <w:shd w:val="clear" w:color="auto" w:fill="205968"/>
            <w:tcMar>
              <w:top w:w="100" w:type="dxa"/>
              <w:left w:w="100" w:type="dxa"/>
              <w:bottom w:w="100" w:type="dxa"/>
              <w:right w:w="100" w:type="dxa"/>
            </w:tcMar>
            <w:vAlign w:val="center"/>
          </w:tcPr>
          <w:p w14:paraId="1F6BFA3F" w14:textId="77777777" w:rsidR="008A34AE" w:rsidRDefault="00F35562">
            <w:pPr>
              <w:widowControl w:val="0"/>
              <w:pBdr>
                <w:top w:val="nil"/>
                <w:left w:val="nil"/>
                <w:bottom w:val="nil"/>
                <w:right w:val="nil"/>
                <w:between w:val="nil"/>
              </w:pBdr>
              <w:spacing w:line="240" w:lineRule="auto"/>
              <w:contextualSpacing w:val="0"/>
              <w:jc w:val="center"/>
              <w:rPr>
                <w:b/>
                <w:color w:val="FFFFFF"/>
                <w:sz w:val="20"/>
                <w:szCs w:val="20"/>
              </w:rPr>
            </w:pPr>
            <w:r>
              <w:rPr>
                <w:b/>
                <w:color w:val="FFFFFF"/>
                <w:sz w:val="20"/>
                <w:szCs w:val="20"/>
              </w:rPr>
              <w:t>Total</w:t>
            </w:r>
          </w:p>
        </w:tc>
        <w:tc>
          <w:tcPr>
            <w:tcW w:w="1605" w:type="dxa"/>
            <w:shd w:val="clear" w:color="auto" w:fill="205968"/>
            <w:tcMar>
              <w:top w:w="100" w:type="dxa"/>
              <w:left w:w="100" w:type="dxa"/>
              <w:bottom w:w="100" w:type="dxa"/>
              <w:right w:w="100" w:type="dxa"/>
            </w:tcMar>
            <w:vAlign w:val="center"/>
          </w:tcPr>
          <w:p w14:paraId="0C6C0E31" w14:textId="77777777" w:rsidR="008A34AE" w:rsidRDefault="00F35562">
            <w:pPr>
              <w:widowControl w:val="0"/>
              <w:pBdr>
                <w:top w:val="nil"/>
                <w:left w:val="nil"/>
                <w:bottom w:val="nil"/>
                <w:right w:val="nil"/>
                <w:between w:val="nil"/>
              </w:pBdr>
              <w:spacing w:line="240" w:lineRule="auto"/>
              <w:contextualSpacing w:val="0"/>
              <w:jc w:val="center"/>
              <w:rPr>
                <w:b/>
                <w:color w:val="FFFFFF"/>
                <w:sz w:val="20"/>
                <w:szCs w:val="20"/>
              </w:rPr>
            </w:pPr>
            <w:r>
              <w:rPr>
                <w:b/>
                <w:color w:val="FFFFFF"/>
                <w:sz w:val="20"/>
                <w:szCs w:val="20"/>
              </w:rPr>
              <w:t>Monumentos históricos</w:t>
            </w:r>
          </w:p>
        </w:tc>
        <w:tc>
          <w:tcPr>
            <w:tcW w:w="1605" w:type="dxa"/>
            <w:shd w:val="clear" w:color="auto" w:fill="205968"/>
            <w:tcMar>
              <w:top w:w="100" w:type="dxa"/>
              <w:left w:w="100" w:type="dxa"/>
              <w:bottom w:w="100" w:type="dxa"/>
              <w:right w:w="100" w:type="dxa"/>
            </w:tcMar>
            <w:vAlign w:val="center"/>
          </w:tcPr>
          <w:p w14:paraId="28693655" w14:textId="77777777" w:rsidR="008A34AE" w:rsidRDefault="00F35562">
            <w:pPr>
              <w:widowControl w:val="0"/>
              <w:pBdr>
                <w:top w:val="nil"/>
                <w:left w:val="nil"/>
                <w:bottom w:val="nil"/>
                <w:right w:val="nil"/>
                <w:between w:val="nil"/>
              </w:pBdr>
              <w:spacing w:line="240" w:lineRule="auto"/>
              <w:contextualSpacing w:val="0"/>
              <w:jc w:val="center"/>
              <w:rPr>
                <w:b/>
                <w:color w:val="FFFFFF"/>
                <w:sz w:val="20"/>
                <w:szCs w:val="20"/>
              </w:rPr>
            </w:pPr>
            <w:r>
              <w:rPr>
                <w:b/>
                <w:color w:val="FFFFFF"/>
                <w:sz w:val="20"/>
                <w:szCs w:val="20"/>
              </w:rPr>
              <w:t>Museos/</w:t>
            </w:r>
          </w:p>
          <w:p w14:paraId="67562E1F" w14:textId="77777777" w:rsidR="008A34AE" w:rsidRDefault="00F35562">
            <w:pPr>
              <w:widowControl w:val="0"/>
              <w:pBdr>
                <w:top w:val="nil"/>
                <w:left w:val="nil"/>
                <w:bottom w:val="nil"/>
                <w:right w:val="nil"/>
                <w:between w:val="nil"/>
              </w:pBdr>
              <w:spacing w:line="240" w:lineRule="auto"/>
              <w:contextualSpacing w:val="0"/>
              <w:jc w:val="center"/>
              <w:rPr>
                <w:b/>
                <w:color w:val="FFFFFF"/>
                <w:sz w:val="20"/>
                <w:szCs w:val="20"/>
              </w:rPr>
            </w:pPr>
            <w:r>
              <w:rPr>
                <w:b/>
                <w:color w:val="FFFFFF"/>
                <w:sz w:val="20"/>
                <w:szCs w:val="20"/>
              </w:rPr>
              <w:t xml:space="preserve">Centros </w:t>
            </w:r>
            <w:r w:rsidR="00EB780C">
              <w:rPr>
                <w:b/>
                <w:color w:val="FFFFFF"/>
                <w:sz w:val="20"/>
                <w:szCs w:val="20"/>
              </w:rPr>
              <w:t>c</w:t>
            </w:r>
            <w:r>
              <w:rPr>
                <w:b/>
                <w:color w:val="FFFFFF"/>
                <w:sz w:val="20"/>
                <w:szCs w:val="20"/>
              </w:rPr>
              <w:t>ulturales</w:t>
            </w:r>
          </w:p>
        </w:tc>
        <w:tc>
          <w:tcPr>
            <w:tcW w:w="1575" w:type="dxa"/>
            <w:shd w:val="clear" w:color="auto" w:fill="205968"/>
            <w:tcMar>
              <w:top w:w="100" w:type="dxa"/>
              <w:left w:w="100" w:type="dxa"/>
              <w:bottom w:w="100" w:type="dxa"/>
              <w:right w:w="100" w:type="dxa"/>
            </w:tcMar>
            <w:vAlign w:val="center"/>
          </w:tcPr>
          <w:p w14:paraId="703453E5" w14:textId="77777777" w:rsidR="008A34AE" w:rsidRDefault="00F35562">
            <w:pPr>
              <w:widowControl w:val="0"/>
              <w:pBdr>
                <w:top w:val="nil"/>
                <w:left w:val="nil"/>
                <w:bottom w:val="nil"/>
                <w:right w:val="nil"/>
                <w:between w:val="nil"/>
              </w:pBdr>
              <w:spacing w:line="240" w:lineRule="auto"/>
              <w:contextualSpacing w:val="0"/>
              <w:jc w:val="center"/>
              <w:rPr>
                <w:b/>
                <w:color w:val="FFFFFF"/>
                <w:sz w:val="20"/>
                <w:szCs w:val="20"/>
              </w:rPr>
            </w:pPr>
            <w:r>
              <w:rPr>
                <w:b/>
                <w:color w:val="FFFFFF"/>
                <w:sz w:val="20"/>
                <w:szCs w:val="20"/>
              </w:rPr>
              <w:t>Zonas arqueológicas</w:t>
            </w:r>
          </w:p>
        </w:tc>
        <w:tc>
          <w:tcPr>
            <w:tcW w:w="1425" w:type="dxa"/>
            <w:shd w:val="clear" w:color="auto" w:fill="205968"/>
            <w:tcMar>
              <w:top w:w="100" w:type="dxa"/>
              <w:left w:w="100" w:type="dxa"/>
              <w:bottom w:w="100" w:type="dxa"/>
              <w:right w:w="100" w:type="dxa"/>
            </w:tcMar>
            <w:vAlign w:val="center"/>
          </w:tcPr>
          <w:p w14:paraId="228362F7" w14:textId="77777777" w:rsidR="008A34AE" w:rsidRDefault="00F35562">
            <w:pPr>
              <w:widowControl w:val="0"/>
              <w:pBdr>
                <w:top w:val="nil"/>
                <w:left w:val="nil"/>
                <w:bottom w:val="nil"/>
                <w:right w:val="nil"/>
                <w:between w:val="nil"/>
              </w:pBdr>
              <w:spacing w:line="240" w:lineRule="auto"/>
              <w:contextualSpacing w:val="0"/>
              <w:jc w:val="center"/>
              <w:rPr>
                <w:b/>
                <w:color w:val="FFFFFF"/>
                <w:sz w:val="20"/>
                <w:szCs w:val="20"/>
              </w:rPr>
            </w:pPr>
            <w:r>
              <w:rPr>
                <w:b/>
                <w:color w:val="FFFFFF"/>
                <w:sz w:val="20"/>
                <w:szCs w:val="20"/>
              </w:rPr>
              <w:t>Sin información</w:t>
            </w:r>
          </w:p>
        </w:tc>
      </w:tr>
      <w:tr w:rsidR="008A34AE" w14:paraId="405106D6" w14:textId="77777777">
        <w:tc>
          <w:tcPr>
            <w:tcW w:w="1815" w:type="dxa"/>
            <w:shd w:val="clear" w:color="auto" w:fill="31849B"/>
            <w:tcMar>
              <w:top w:w="100" w:type="dxa"/>
              <w:left w:w="100" w:type="dxa"/>
              <w:bottom w:w="100" w:type="dxa"/>
              <w:right w:w="100" w:type="dxa"/>
            </w:tcMar>
            <w:vAlign w:val="center"/>
          </w:tcPr>
          <w:p w14:paraId="18A43851" w14:textId="77777777" w:rsidR="008A34AE" w:rsidRDefault="00F35562">
            <w:pPr>
              <w:widowControl w:val="0"/>
              <w:spacing w:line="240" w:lineRule="auto"/>
              <w:contextualSpacing w:val="0"/>
              <w:rPr>
                <w:color w:val="FFFFFF"/>
                <w:sz w:val="20"/>
                <w:szCs w:val="20"/>
              </w:rPr>
            </w:pPr>
            <w:r>
              <w:rPr>
                <w:color w:val="FFFFFF"/>
                <w:sz w:val="20"/>
                <w:szCs w:val="20"/>
              </w:rPr>
              <w:t>Oaxaca</w:t>
            </w:r>
          </w:p>
        </w:tc>
        <w:tc>
          <w:tcPr>
            <w:tcW w:w="990" w:type="dxa"/>
            <w:shd w:val="clear" w:color="auto" w:fill="93CDDC"/>
            <w:tcMar>
              <w:top w:w="100" w:type="dxa"/>
              <w:left w:w="100" w:type="dxa"/>
              <w:bottom w:w="100" w:type="dxa"/>
              <w:right w:w="100" w:type="dxa"/>
            </w:tcMar>
            <w:vAlign w:val="center"/>
          </w:tcPr>
          <w:p w14:paraId="6F114D78" w14:textId="77777777" w:rsidR="008A34AE" w:rsidRDefault="00F35562">
            <w:pPr>
              <w:widowControl w:val="0"/>
              <w:spacing w:line="240" w:lineRule="auto"/>
              <w:contextualSpacing w:val="0"/>
              <w:jc w:val="center"/>
              <w:rPr>
                <w:color w:val="205968"/>
                <w:sz w:val="20"/>
                <w:szCs w:val="20"/>
              </w:rPr>
            </w:pPr>
            <w:r>
              <w:rPr>
                <w:color w:val="205968"/>
                <w:sz w:val="20"/>
                <w:szCs w:val="20"/>
              </w:rPr>
              <w:t>739</w:t>
            </w:r>
          </w:p>
        </w:tc>
        <w:tc>
          <w:tcPr>
            <w:tcW w:w="1605" w:type="dxa"/>
            <w:shd w:val="clear" w:color="auto" w:fill="93CDDC"/>
            <w:tcMar>
              <w:top w:w="100" w:type="dxa"/>
              <w:left w:w="100" w:type="dxa"/>
              <w:bottom w:w="100" w:type="dxa"/>
              <w:right w:w="100" w:type="dxa"/>
            </w:tcMar>
            <w:vAlign w:val="center"/>
          </w:tcPr>
          <w:p w14:paraId="05D5F0D4" w14:textId="77777777" w:rsidR="008A34AE" w:rsidRDefault="00F35562">
            <w:pPr>
              <w:widowControl w:val="0"/>
              <w:spacing w:line="240" w:lineRule="auto"/>
              <w:contextualSpacing w:val="0"/>
              <w:jc w:val="center"/>
              <w:rPr>
                <w:color w:val="205968"/>
                <w:sz w:val="20"/>
                <w:szCs w:val="20"/>
              </w:rPr>
            </w:pPr>
            <w:r>
              <w:rPr>
                <w:color w:val="205968"/>
                <w:sz w:val="20"/>
                <w:szCs w:val="20"/>
              </w:rPr>
              <w:t>684</w:t>
            </w:r>
          </w:p>
        </w:tc>
        <w:tc>
          <w:tcPr>
            <w:tcW w:w="1605" w:type="dxa"/>
            <w:shd w:val="clear" w:color="auto" w:fill="93CDDC"/>
            <w:tcMar>
              <w:top w:w="100" w:type="dxa"/>
              <w:left w:w="100" w:type="dxa"/>
              <w:bottom w:w="100" w:type="dxa"/>
              <w:right w:w="100" w:type="dxa"/>
            </w:tcMar>
            <w:vAlign w:val="center"/>
          </w:tcPr>
          <w:p w14:paraId="7B84AEC8" w14:textId="77777777" w:rsidR="008A34AE" w:rsidRDefault="00F35562">
            <w:pPr>
              <w:widowControl w:val="0"/>
              <w:spacing w:line="240" w:lineRule="auto"/>
              <w:contextualSpacing w:val="0"/>
              <w:jc w:val="center"/>
              <w:rPr>
                <w:color w:val="205968"/>
                <w:sz w:val="20"/>
                <w:szCs w:val="20"/>
              </w:rPr>
            </w:pPr>
            <w:r>
              <w:rPr>
                <w:color w:val="205968"/>
                <w:sz w:val="20"/>
                <w:szCs w:val="20"/>
              </w:rPr>
              <w:t>22</w:t>
            </w:r>
          </w:p>
        </w:tc>
        <w:tc>
          <w:tcPr>
            <w:tcW w:w="1575" w:type="dxa"/>
            <w:shd w:val="clear" w:color="auto" w:fill="93CDDC"/>
            <w:tcMar>
              <w:top w:w="100" w:type="dxa"/>
              <w:left w:w="100" w:type="dxa"/>
              <w:bottom w:w="100" w:type="dxa"/>
              <w:right w:w="100" w:type="dxa"/>
            </w:tcMar>
            <w:vAlign w:val="center"/>
          </w:tcPr>
          <w:p w14:paraId="2C323095" w14:textId="77777777" w:rsidR="008A34AE" w:rsidRDefault="00F35562">
            <w:pPr>
              <w:widowControl w:val="0"/>
              <w:spacing w:line="240" w:lineRule="auto"/>
              <w:contextualSpacing w:val="0"/>
              <w:jc w:val="center"/>
              <w:rPr>
                <w:color w:val="205968"/>
                <w:sz w:val="20"/>
                <w:szCs w:val="20"/>
              </w:rPr>
            </w:pPr>
            <w:r>
              <w:rPr>
                <w:color w:val="205968"/>
                <w:sz w:val="20"/>
                <w:szCs w:val="20"/>
              </w:rPr>
              <w:t>17</w:t>
            </w:r>
          </w:p>
        </w:tc>
        <w:tc>
          <w:tcPr>
            <w:tcW w:w="1425" w:type="dxa"/>
            <w:shd w:val="clear" w:color="auto" w:fill="93CDDC"/>
            <w:tcMar>
              <w:top w:w="100" w:type="dxa"/>
              <w:left w:w="100" w:type="dxa"/>
              <w:bottom w:w="100" w:type="dxa"/>
              <w:right w:w="100" w:type="dxa"/>
            </w:tcMar>
            <w:vAlign w:val="center"/>
          </w:tcPr>
          <w:p w14:paraId="1C7E9CC6" w14:textId="77777777" w:rsidR="008A34AE" w:rsidRDefault="00F35562">
            <w:pPr>
              <w:widowControl w:val="0"/>
              <w:spacing w:line="240" w:lineRule="auto"/>
              <w:contextualSpacing w:val="0"/>
              <w:jc w:val="center"/>
              <w:rPr>
                <w:color w:val="205968"/>
                <w:sz w:val="20"/>
                <w:szCs w:val="20"/>
              </w:rPr>
            </w:pPr>
            <w:r>
              <w:rPr>
                <w:color w:val="205968"/>
                <w:sz w:val="20"/>
                <w:szCs w:val="20"/>
              </w:rPr>
              <w:t>16</w:t>
            </w:r>
          </w:p>
        </w:tc>
      </w:tr>
      <w:tr w:rsidR="008A34AE" w14:paraId="1FAB50D5" w14:textId="77777777">
        <w:tc>
          <w:tcPr>
            <w:tcW w:w="1815" w:type="dxa"/>
            <w:shd w:val="clear" w:color="auto" w:fill="31849B"/>
            <w:tcMar>
              <w:top w:w="100" w:type="dxa"/>
              <w:left w:w="100" w:type="dxa"/>
              <w:bottom w:w="100" w:type="dxa"/>
              <w:right w:w="100" w:type="dxa"/>
            </w:tcMar>
            <w:vAlign w:val="center"/>
          </w:tcPr>
          <w:p w14:paraId="7F800E57" w14:textId="77777777" w:rsidR="008A34AE" w:rsidRDefault="00F35562">
            <w:pPr>
              <w:widowControl w:val="0"/>
              <w:spacing w:line="240" w:lineRule="auto"/>
              <w:contextualSpacing w:val="0"/>
              <w:rPr>
                <w:color w:val="FFFFFF"/>
                <w:sz w:val="20"/>
                <w:szCs w:val="20"/>
              </w:rPr>
            </w:pPr>
            <w:r>
              <w:rPr>
                <w:color w:val="FFFFFF"/>
                <w:sz w:val="20"/>
                <w:szCs w:val="20"/>
              </w:rPr>
              <w:t>Puebla</w:t>
            </w:r>
          </w:p>
        </w:tc>
        <w:tc>
          <w:tcPr>
            <w:tcW w:w="990" w:type="dxa"/>
            <w:shd w:val="clear" w:color="auto" w:fill="93CDDC"/>
            <w:tcMar>
              <w:top w:w="100" w:type="dxa"/>
              <w:left w:w="100" w:type="dxa"/>
              <w:bottom w:w="100" w:type="dxa"/>
              <w:right w:w="100" w:type="dxa"/>
            </w:tcMar>
            <w:vAlign w:val="center"/>
          </w:tcPr>
          <w:p w14:paraId="6EB30E32" w14:textId="77777777" w:rsidR="008A34AE" w:rsidRDefault="00F35562">
            <w:pPr>
              <w:widowControl w:val="0"/>
              <w:spacing w:line="240" w:lineRule="auto"/>
              <w:contextualSpacing w:val="0"/>
              <w:jc w:val="center"/>
              <w:rPr>
                <w:color w:val="205968"/>
                <w:sz w:val="20"/>
                <w:szCs w:val="20"/>
              </w:rPr>
            </w:pPr>
            <w:r>
              <w:rPr>
                <w:color w:val="205968"/>
                <w:sz w:val="20"/>
                <w:szCs w:val="20"/>
              </w:rPr>
              <w:t>640</w:t>
            </w:r>
          </w:p>
        </w:tc>
        <w:tc>
          <w:tcPr>
            <w:tcW w:w="1605" w:type="dxa"/>
            <w:shd w:val="clear" w:color="auto" w:fill="93CDDC"/>
            <w:tcMar>
              <w:top w:w="100" w:type="dxa"/>
              <w:left w:w="100" w:type="dxa"/>
              <w:bottom w:w="100" w:type="dxa"/>
              <w:right w:w="100" w:type="dxa"/>
            </w:tcMar>
            <w:vAlign w:val="center"/>
          </w:tcPr>
          <w:p w14:paraId="66349843" w14:textId="77777777" w:rsidR="008A34AE" w:rsidRDefault="00F35562">
            <w:pPr>
              <w:widowControl w:val="0"/>
              <w:spacing w:line="240" w:lineRule="auto"/>
              <w:contextualSpacing w:val="0"/>
              <w:jc w:val="center"/>
              <w:rPr>
                <w:color w:val="205968"/>
                <w:sz w:val="20"/>
                <w:szCs w:val="20"/>
              </w:rPr>
            </w:pPr>
            <w:r>
              <w:rPr>
                <w:color w:val="205968"/>
                <w:sz w:val="20"/>
                <w:szCs w:val="20"/>
              </w:rPr>
              <w:t>636</w:t>
            </w:r>
          </w:p>
        </w:tc>
        <w:tc>
          <w:tcPr>
            <w:tcW w:w="1605" w:type="dxa"/>
            <w:shd w:val="clear" w:color="auto" w:fill="93CDDC"/>
            <w:tcMar>
              <w:top w:w="100" w:type="dxa"/>
              <w:left w:w="100" w:type="dxa"/>
              <w:bottom w:w="100" w:type="dxa"/>
              <w:right w:w="100" w:type="dxa"/>
            </w:tcMar>
            <w:vAlign w:val="center"/>
          </w:tcPr>
          <w:p w14:paraId="0AC2252D" w14:textId="77777777" w:rsidR="008A34AE" w:rsidRDefault="00F35562">
            <w:pPr>
              <w:widowControl w:val="0"/>
              <w:spacing w:line="240" w:lineRule="auto"/>
              <w:contextualSpacing w:val="0"/>
              <w:jc w:val="center"/>
              <w:rPr>
                <w:color w:val="205968"/>
                <w:sz w:val="20"/>
                <w:szCs w:val="20"/>
              </w:rPr>
            </w:pPr>
            <w:r>
              <w:rPr>
                <w:color w:val="205968"/>
                <w:sz w:val="20"/>
                <w:szCs w:val="20"/>
              </w:rPr>
              <w:t>2</w:t>
            </w:r>
          </w:p>
        </w:tc>
        <w:tc>
          <w:tcPr>
            <w:tcW w:w="1575" w:type="dxa"/>
            <w:shd w:val="clear" w:color="auto" w:fill="93CDDC"/>
            <w:tcMar>
              <w:top w:w="100" w:type="dxa"/>
              <w:left w:w="100" w:type="dxa"/>
              <w:bottom w:w="100" w:type="dxa"/>
              <w:right w:w="100" w:type="dxa"/>
            </w:tcMar>
            <w:vAlign w:val="center"/>
          </w:tcPr>
          <w:p w14:paraId="5518D2DD" w14:textId="77777777" w:rsidR="008A34AE" w:rsidRDefault="00F35562">
            <w:pPr>
              <w:widowControl w:val="0"/>
              <w:spacing w:line="240" w:lineRule="auto"/>
              <w:contextualSpacing w:val="0"/>
              <w:jc w:val="center"/>
              <w:rPr>
                <w:color w:val="205968"/>
                <w:sz w:val="20"/>
                <w:szCs w:val="20"/>
              </w:rPr>
            </w:pPr>
            <w:r>
              <w:rPr>
                <w:color w:val="205968"/>
                <w:sz w:val="20"/>
                <w:szCs w:val="20"/>
              </w:rPr>
              <w:t>2</w:t>
            </w:r>
          </w:p>
        </w:tc>
        <w:tc>
          <w:tcPr>
            <w:tcW w:w="1425" w:type="dxa"/>
            <w:shd w:val="clear" w:color="auto" w:fill="93CDDC"/>
            <w:tcMar>
              <w:top w:w="100" w:type="dxa"/>
              <w:left w:w="100" w:type="dxa"/>
              <w:bottom w:w="100" w:type="dxa"/>
              <w:right w:w="100" w:type="dxa"/>
            </w:tcMar>
            <w:vAlign w:val="center"/>
          </w:tcPr>
          <w:p w14:paraId="345E45DF" w14:textId="77777777" w:rsidR="008A34AE" w:rsidRDefault="00F35562">
            <w:pPr>
              <w:widowControl w:val="0"/>
              <w:spacing w:line="240" w:lineRule="auto"/>
              <w:contextualSpacing w:val="0"/>
              <w:jc w:val="center"/>
              <w:rPr>
                <w:color w:val="205968"/>
                <w:sz w:val="20"/>
                <w:szCs w:val="20"/>
              </w:rPr>
            </w:pPr>
            <w:r>
              <w:rPr>
                <w:color w:val="205968"/>
                <w:sz w:val="20"/>
                <w:szCs w:val="20"/>
              </w:rPr>
              <w:t>N/A</w:t>
            </w:r>
          </w:p>
        </w:tc>
      </w:tr>
      <w:tr w:rsidR="008A34AE" w14:paraId="04623C72" w14:textId="77777777">
        <w:tc>
          <w:tcPr>
            <w:tcW w:w="1815" w:type="dxa"/>
            <w:shd w:val="clear" w:color="auto" w:fill="31849B"/>
            <w:tcMar>
              <w:top w:w="100" w:type="dxa"/>
              <w:left w:w="100" w:type="dxa"/>
              <w:bottom w:w="100" w:type="dxa"/>
              <w:right w:w="100" w:type="dxa"/>
            </w:tcMar>
            <w:vAlign w:val="center"/>
          </w:tcPr>
          <w:p w14:paraId="0A48C689" w14:textId="77777777" w:rsidR="008A34AE" w:rsidRDefault="00F35562">
            <w:pPr>
              <w:widowControl w:val="0"/>
              <w:spacing w:line="240" w:lineRule="auto"/>
              <w:contextualSpacing w:val="0"/>
              <w:rPr>
                <w:color w:val="FFFFFF"/>
                <w:sz w:val="20"/>
                <w:szCs w:val="20"/>
              </w:rPr>
            </w:pPr>
            <w:r>
              <w:rPr>
                <w:color w:val="FFFFFF"/>
                <w:sz w:val="20"/>
                <w:szCs w:val="20"/>
              </w:rPr>
              <w:t>Morelos</w:t>
            </w:r>
          </w:p>
        </w:tc>
        <w:tc>
          <w:tcPr>
            <w:tcW w:w="990" w:type="dxa"/>
            <w:shd w:val="clear" w:color="auto" w:fill="93CDDC"/>
            <w:tcMar>
              <w:top w:w="100" w:type="dxa"/>
              <w:left w:w="100" w:type="dxa"/>
              <w:bottom w:w="100" w:type="dxa"/>
              <w:right w:w="100" w:type="dxa"/>
            </w:tcMar>
            <w:vAlign w:val="center"/>
          </w:tcPr>
          <w:p w14:paraId="24F5305E" w14:textId="77777777" w:rsidR="008A34AE" w:rsidRDefault="00F35562">
            <w:pPr>
              <w:widowControl w:val="0"/>
              <w:spacing w:line="240" w:lineRule="auto"/>
              <w:contextualSpacing w:val="0"/>
              <w:jc w:val="center"/>
              <w:rPr>
                <w:color w:val="205968"/>
                <w:sz w:val="20"/>
                <w:szCs w:val="20"/>
              </w:rPr>
            </w:pPr>
            <w:r>
              <w:rPr>
                <w:color w:val="205968"/>
                <w:sz w:val="20"/>
                <w:szCs w:val="20"/>
              </w:rPr>
              <w:t>375</w:t>
            </w:r>
          </w:p>
        </w:tc>
        <w:tc>
          <w:tcPr>
            <w:tcW w:w="1605" w:type="dxa"/>
            <w:shd w:val="clear" w:color="auto" w:fill="93CDDC"/>
            <w:tcMar>
              <w:top w:w="100" w:type="dxa"/>
              <w:left w:w="100" w:type="dxa"/>
              <w:bottom w:w="100" w:type="dxa"/>
              <w:right w:w="100" w:type="dxa"/>
            </w:tcMar>
            <w:vAlign w:val="center"/>
          </w:tcPr>
          <w:p w14:paraId="6D4D3B45" w14:textId="77777777" w:rsidR="008A34AE" w:rsidRDefault="00F35562">
            <w:pPr>
              <w:widowControl w:val="0"/>
              <w:spacing w:line="240" w:lineRule="auto"/>
              <w:contextualSpacing w:val="0"/>
              <w:jc w:val="center"/>
              <w:rPr>
                <w:color w:val="205968"/>
                <w:sz w:val="20"/>
                <w:szCs w:val="20"/>
              </w:rPr>
            </w:pPr>
            <w:r>
              <w:rPr>
                <w:color w:val="205968"/>
                <w:sz w:val="20"/>
                <w:szCs w:val="20"/>
              </w:rPr>
              <w:t>368</w:t>
            </w:r>
          </w:p>
        </w:tc>
        <w:tc>
          <w:tcPr>
            <w:tcW w:w="1605" w:type="dxa"/>
            <w:shd w:val="clear" w:color="auto" w:fill="93CDDC"/>
            <w:tcMar>
              <w:top w:w="100" w:type="dxa"/>
              <w:left w:w="100" w:type="dxa"/>
              <w:bottom w:w="100" w:type="dxa"/>
              <w:right w:w="100" w:type="dxa"/>
            </w:tcMar>
            <w:vAlign w:val="center"/>
          </w:tcPr>
          <w:p w14:paraId="46E7BDF4" w14:textId="77777777" w:rsidR="008A34AE" w:rsidRDefault="00F35562">
            <w:pPr>
              <w:widowControl w:val="0"/>
              <w:spacing w:line="240" w:lineRule="auto"/>
              <w:contextualSpacing w:val="0"/>
              <w:jc w:val="center"/>
              <w:rPr>
                <w:color w:val="205968"/>
                <w:sz w:val="20"/>
                <w:szCs w:val="20"/>
              </w:rPr>
            </w:pPr>
            <w:r>
              <w:rPr>
                <w:color w:val="205968"/>
                <w:sz w:val="20"/>
                <w:szCs w:val="20"/>
              </w:rPr>
              <w:t>2</w:t>
            </w:r>
          </w:p>
        </w:tc>
        <w:tc>
          <w:tcPr>
            <w:tcW w:w="1575" w:type="dxa"/>
            <w:shd w:val="clear" w:color="auto" w:fill="93CDDC"/>
            <w:tcMar>
              <w:top w:w="100" w:type="dxa"/>
              <w:left w:w="100" w:type="dxa"/>
              <w:bottom w:w="100" w:type="dxa"/>
              <w:right w:w="100" w:type="dxa"/>
            </w:tcMar>
            <w:vAlign w:val="center"/>
          </w:tcPr>
          <w:p w14:paraId="436F0518" w14:textId="77777777" w:rsidR="008A34AE" w:rsidRDefault="00F35562">
            <w:pPr>
              <w:widowControl w:val="0"/>
              <w:spacing w:line="240" w:lineRule="auto"/>
              <w:contextualSpacing w:val="0"/>
              <w:jc w:val="center"/>
              <w:rPr>
                <w:color w:val="205968"/>
                <w:sz w:val="20"/>
                <w:szCs w:val="20"/>
              </w:rPr>
            </w:pPr>
            <w:r>
              <w:rPr>
                <w:color w:val="205968"/>
                <w:sz w:val="20"/>
                <w:szCs w:val="20"/>
              </w:rPr>
              <w:t>5</w:t>
            </w:r>
          </w:p>
        </w:tc>
        <w:tc>
          <w:tcPr>
            <w:tcW w:w="1425" w:type="dxa"/>
            <w:shd w:val="clear" w:color="auto" w:fill="93CDDC"/>
            <w:tcMar>
              <w:top w:w="100" w:type="dxa"/>
              <w:left w:w="100" w:type="dxa"/>
              <w:bottom w:w="100" w:type="dxa"/>
              <w:right w:w="100" w:type="dxa"/>
            </w:tcMar>
            <w:vAlign w:val="center"/>
          </w:tcPr>
          <w:p w14:paraId="15234030" w14:textId="77777777" w:rsidR="008A34AE" w:rsidRDefault="00F35562">
            <w:pPr>
              <w:widowControl w:val="0"/>
              <w:spacing w:line="240" w:lineRule="auto"/>
              <w:contextualSpacing w:val="0"/>
              <w:jc w:val="center"/>
              <w:rPr>
                <w:color w:val="205968"/>
                <w:sz w:val="20"/>
                <w:szCs w:val="20"/>
              </w:rPr>
            </w:pPr>
            <w:r>
              <w:rPr>
                <w:color w:val="205968"/>
                <w:sz w:val="20"/>
                <w:szCs w:val="20"/>
              </w:rPr>
              <w:t>N/A</w:t>
            </w:r>
          </w:p>
        </w:tc>
      </w:tr>
      <w:tr w:rsidR="008A34AE" w14:paraId="7F9B8474" w14:textId="77777777">
        <w:tc>
          <w:tcPr>
            <w:tcW w:w="1815" w:type="dxa"/>
            <w:shd w:val="clear" w:color="auto" w:fill="31849B"/>
            <w:tcMar>
              <w:top w:w="100" w:type="dxa"/>
              <w:left w:w="100" w:type="dxa"/>
              <w:bottom w:w="100" w:type="dxa"/>
              <w:right w:w="100" w:type="dxa"/>
            </w:tcMar>
            <w:vAlign w:val="center"/>
          </w:tcPr>
          <w:p w14:paraId="47B58E12" w14:textId="77777777" w:rsidR="008A34AE" w:rsidRDefault="00F35562">
            <w:pPr>
              <w:widowControl w:val="0"/>
              <w:spacing w:line="240" w:lineRule="auto"/>
              <w:contextualSpacing w:val="0"/>
              <w:rPr>
                <w:color w:val="FFFFFF"/>
                <w:sz w:val="20"/>
                <w:szCs w:val="20"/>
              </w:rPr>
            </w:pPr>
            <w:r>
              <w:rPr>
                <w:color w:val="FFFFFF"/>
                <w:sz w:val="20"/>
                <w:szCs w:val="20"/>
              </w:rPr>
              <w:t>Estado de México</w:t>
            </w:r>
          </w:p>
        </w:tc>
        <w:tc>
          <w:tcPr>
            <w:tcW w:w="990" w:type="dxa"/>
            <w:shd w:val="clear" w:color="auto" w:fill="93CDDC"/>
            <w:tcMar>
              <w:top w:w="100" w:type="dxa"/>
              <w:left w:w="100" w:type="dxa"/>
              <w:bottom w:w="100" w:type="dxa"/>
              <w:right w:w="100" w:type="dxa"/>
            </w:tcMar>
            <w:vAlign w:val="center"/>
          </w:tcPr>
          <w:p w14:paraId="1B182C45" w14:textId="77777777" w:rsidR="008A34AE" w:rsidRDefault="00F35562">
            <w:pPr>
              <w:widowControl w:val="0"/>
              <w:spacing w:line="240" w:lineRule="auto"/>
              <w:contextualSpacing w:val="0"/>
              <w:jc w:val="center"/>
              <w:rPr>
                <w:color w:val="205968"/>
                <w:sz w:val="20"/>
                <w:szCs w:val="20"/>
              </w:rPr>
            </w:pPr>
            <w:r>
              <w:rPr>
                <w:color w:val="205968"/>
                <w:sz w:val="20"/>
                <w:szCs w:val="20"/>
              </w:rPr>
              <w:t>287</w:t>
            </w:r>
          </w:p>
        </w:tc>
        <w:tc>
          <w:tcPr>
            <w:tcW w:w="1605" w:type="dxa"/>
            <w:shd w:val="clear" w:color="auto" w:fill="93CDDC"/>
            <w:tcMar>
              <w:top w:w="100" w:type="dxa"/>
              <w:left w:w="100" w:type="dxa"/>
              <w:bottom w:w="100" w:type="dxa"/>
              <w:right w:w="100" w:type="dxa"/>
            </w:tcMar>
            <w:vAlign w:val="center"/>
          </w:tcPr>
          <w:p w14:paraId="096723D8" w14:textId="77777777" w:rsidR="008A34AE" w:rsidRDefault="00F35562">
            <w:pPr>
              <w:widowControl w:val="0"/>
              <w:spacing w:line="240" w:lineRule="auto"/>
              <w:contextualSpacing w:val="0"/>
              <w:jc w:val="center"/>
              <w:rPr>
                <w:color w:val="205968"/>
                <w:sz w:val="20"/>
                <w:szCs w:val="20"/>
              </w:rPr>
            </w:pPr>
            <w:r>
              <w:rPr>
                <w:color w:val="205968"/>
                <w:sz w:val="20"/>
                <w:szCs w:val="20"/>
              </w:rPr>
              <w:t>282</w:t>
            </w:r>
          </w:p>
        </w:tc>
        <w:tc>
          <w:tcPr>
            <w:tcW w:w="1605" w:type="dxa"/>
            <w:shd w:val="clear" w:color="auto" w:fill="93CDDC"/>
            <w:tcMar>
              <w:top w:w="100" w:type="dxa"/>
              <w:left w:w="100" w:type="dxa"/>
              <w:bottom w:w="100" w:type="dxa"/>
              <w:right w:w="100" w:type="dxa"/>
            </w:tcMar>
            <w:vAlign w:val="center"/>
          </w:tcPr>
          <w:p w14:paraId="54D6C19A" w14:textId="77777777" w:rsidR="008A34AE" w:rsidRDefault="00F35562">
            <w:pPr>
              <w:widowControl w:val="0"/>
              <w:spacing w:line="240" w:lineRule="auto"/>
              <w:contextualSpacing w:val="0"/>
              <w:jc w:val="center"/>
              <w:rPr>
                <w:color w:val="205968"/>
                <w:sz w:val="20"/>
                <w:szCs w:val="20"/>
              </w:rPr>
            </w:pPr>
            <w:r>
              <w:rPr>
                <w:color w:val="205968"/>
                <w:sz w:val="20"/>
                <w:szCs w:val="20"/>
              </w:rPr>
              <w:t>1</w:t>
            </w:r>
          </w:p>
        </w:tc>
        <w:tc>
          <w:tcPr>
            <w:tcW w:w="1575" w:type="dxa"/>
            <w:shd w:val="clear" w:color="auto" w:fill="93CDDC"/>
            <w:tcMar>
              <w:top w:w="100" w:type="dxa"/>
              <w:left w:w="100" w:type="dxa"/>
              <w:bottom w:w="100" w:type="dxa"/>
              <w:right w:w="100" w:type="dxa"/>
            </w:tcMar>
            <w:vAlign w:val="center"/>
          </w:tcPr>
          <w:p w14:paraId="4DCE0A42" w14:textId="77777777" w:rsidR="008A34AE" w:rsidRDefault="00F35562">
            <w:pPr>
              <w:widowControl w:val="0"/>
              <w:spacing w:line="240" w:lineRule="auto"/>
              <w:contextualSpacing w:val="0"/>
              <w:jc w:val="center"/>
              <w:rPr>
                <w:color w:val="205968"/>
                <w:sz w:val="20"/>
                <w:szCs w:val="20"/>
              </w:rPr>
            </w:pPr>
            <w:r>
              <w:rPr>
                <w:color w:val="205968"/>
                <w:sz w:val="20"/>
                <w:szCs w:val="20"/>
              </w:rPr>
              <w:t>4</w:t>
            </w:r>
          </w:p>
        </w:tc>
        <w:tc>
          <w:tcPr>
            <w:tcW w:w="1425" w:type="dxa"/>
            <w:shd w:val="clear" w:color="auto" w:fill="93CDDC"/>
            <w:tcMar>
              <w:top w:w="100" w:type="dxa"/>
              <w:left w:w="100" w:type="dxa"/>
              <w:bottom w:w="100" w:type="dxa"/>
              <w:right w:w="100" w:type="dxa"/>
            </w:tcMar>
            <w:vAlign w:val="center"/>
          </w:tcPr>
          <w:p w14:paraId="746C7398" w14:textId="77777777" w:rsidR="008A34AE" w:rsidRDefault="00F35562">
            <w:pPr>
              <w:widowControl w:val="0"/>
              <w:spacing w:line="240" w:lineRule="auto"/>
              <w:contextualSpacing w:val="0"/>
              <w:jc w:val="center"/>
              <w:rPr>
                <w:color w:val="205968"/>
                <w:sz w:val="20"/>
                <w:szCs w:val="20"/>
              </w:rPr>
            </w:pPr>
            <w:r>
              <w:rPr>
                <w:color w:val="205968"/>
                <w:sz w:val="20"/>
                <w:szCs w:val="20"/>
              </w:rPr>
              <w:t>N/A</w:t>
            </w:r>
          </w:p>
        </w:tc>
      </w:tr>
      <w:tr w:rsidR="008A34AE" w14:paraId="08F02702" w14:textId="77777777">
        <w:tc>
          <w:tcPr>
            <w:tcW w:w="1815" w:type="dxa"/>
            <w:shd w:val="clear" w:color="auto" w:fill="31849B"/>
            <w:tcMar>
              <w:top w:w="100" w:type="dxa"/>
              <w:left w:w="100" w:type="dxa"/>
              <w:bottom w:w="100" w:type="dxa"/>
              <w:right w:w="100" w:type="dxa"/>
            </w:tcMar>
            <w:vAlign w:val="center"/>
          </w:tcPr>
          <w:p w14:paraId="0C354843" w14:textId="77777777" w:rsidR="008A34AE" w:rsidRDefault="00F35562">
            <w:pPr>
              <w:widowControl w:val="0"/>
              <w:spacing w:line="240" w:lineRule="auto"/>
              <w:contextualSpacing w:val="0"/>
              <w:rPr>
                <w:color w:val="FFFFFF"/>
                <w:sz w:val="20"/>
                <w:szCs w:val="20"/>
              </w:rPr>
            </w:pPr>
            <w:r>
              <w:rPr>
                <w:color w:val="FFFFFF"/>
                <w:sz w:val="20"/>
                <w:szCs w:val="20"/>
              </w:rPr>
              <w:t>Ciudad de México</w:t>
            </w:r>
          </w:p>
        </w:tc>
        <w:tc>
          <w:tcPr>
            <w:tcW w:w="990" w:type="dxa"/>
            <w:shd w:val="clear" w:color="auto" w:fill="93CDDC"/>
            <w:tcMar>
              <w:top w:w="100" w:type="dxa"/>
              <w:left w:w="100" w:type="dxa"/>
              <w:bottom w:w="100" w:type="dxa"/>
              <w:right w:w="100" w:type="dxa"/>
            </w:tcMar>
            <w:vAlign w:val="center"/>
          </w:tcPr>
          <w:p w14:paraId="7321D807" w14:textId="77777777" w:rsidR="008A34AE" w:rsidRDefault="00F35562">
            <w:pPr>
              <w:widowControl w:val="0"/>
              <w:spacing w:line="240" w:lineRule="auto"/>
              <w:contextualSpacing w:val="0"/>
              <w:jc w:val="center"/>
              <w:rPr>
                <w:color w:val="205968"/>
                <w:sz w:val="20"/>
                <w:szCs w:val="20"/>
              </w:rPr>
            </w:pPr>
            <w:r>
              <w:rPr>
                <w:color w:val="205968"/>
                <w:sz w:val="20"/>
                <w:szCs w:val="20"/>
              </w:rPr>
              <w:t>219</w:t>
            </w:r>
          </w:p>
        </w:tc>
        <w:tc>
          <w:tcPr>
            <w:tcW w:w="1605" w:type="dxa"/>
            <w:shd w:val="clear" w:color="auto" w:fill="93CDDC"/>
            <w:tcMar>
              <w:top w:w="100" w:type="dxa"/>
              <w:left w:w="100" w:type="dxa"/>
              <w:bottom w:w="100" w:type="dxa"/>
              <w:right w:w="100" w:type="dxa"/>
            </w:tcMar>
            <w:vAlign w:val="center"/>
          </w:tcPr>
          <w:p w14:paraId="74696C64" w14:textId="77777777" w:rsidR="008A34AE" w:rsidRDefault="00F35562">
            <w:pPr>
              <w:widowControl w:val="0"/>
              <w:spacing w:line="240" w:lineRule="auto"/>
              <w:contextualSpacing w:val="0"/>
              <w:jc w:val="center"/>
              <w:rPr>
                <w:color w:val="205968"/>
                <w:sz w:val="20"/>
                <w:szCs w:val="20"/>
              </w:rPr>
            </w:pPr>
            <w:r>
              <w:rPr>
                <w:color w:val="205968"/>
                <w:sz w:val="20"/>
                <w:szCs w:val="20"/>
              </w:rPr>
              <w:t>153</w:t>
            </w:r>
          </w:p>
        </w:tc>
        <w:tc>
          <w:tcPr>
            <w:tcW w:w="1605" w:type="dxa"/>
            <w:shd w:val="clear" w:color="auto" w:fill="93CDDC"/>
            <w:tcMar>
              <w:top w:w="100" w:type="dxa"/>
              <w:left w:w="100" w:type="dxa"/>
              <w:bottom w:w="100" w:type="dxa"/>
              <w:right w:w="100" w:type="dxa"/>
            </w:tcMar>
            <w:vAlign w:val="center"/>
          </w:tcPr>
          <w:p w14:paraId="0B702F3E" w14:textId="77777777" w:rsidR="008A34AE" w:rsidRDefault="00F35562">
            <w:pPr>
              <w:widowControl w:val="0"/>
              <w:spacing w:line="240" w:lineRule="auto"/>
              <w:contextualSpacing w:val="0"/>
              <w:jc w:val="center"/>
              <w:rPr>
                <w:color w:val="205968"/>
                <w:sz w:val="20"/>
                <w:szCs w:val="20"/>
              </w:rPr>
            </w:pPr>
            <w:r>
              <w:rPr>
                <w:color w:val="205968"/>
                <w:sz w:val="20"/>
                <w:szCs w:val="20"/>
              </w:rPr>
              <w:t>-</w:t>
            </w:r>
          </w:p>
        </w:tc>
        <w:tc>
          <w:tcPr>
            <w:tcW w:w="1575" w:type="dxa"/>
            <w:shd w:val="clear" w:color="auto" w:fill="93CDDC"/>
            <w:tcMar>
              <w:top w:w="100" w:type="dxa"/>
              <w:left w:w="100" w:type="dxa"/>
              <w:bottom w:w="100" w:type="dxa"/>
              <w:right w:w="100" w:type="dxa"/>
            </w:tcMar>
            <w:vAlign w:val="center"/>
          </w:tcPr>
          <w:p w14:paraId="69D11B30" w14:textId="77777777" w:rsidR="008A34AE" w:rsidRDefault="00F35562">
            <w:pPr>
              <w:widowControl w:val="0"/>
              <w:spacing w:line="240" w:lineRule="auto"/>
              <w:contextualSpacing w:val="0"/>
              <w:jc w:val="center"/>
              <w:rPr>
                <w:color w:val="205968"/>
                <w:sz w:val="20"/>
                <w:szCs w:val="20"/>
              </w:rPr>
            </w:pPr>
            <w:r>
              <w:rPr>
                <w:color w:val="205968"/>
                <w:sz w:val="20"/>
                <w:szCs w:val="20"/>
              </w:rPr>
              <w:t>1</w:t>
            </w:r>
          </w:p>
        </w:tc>
        <w:tc>
          <w:tcPr>
            <w:tcW w:w="1425" w:type="dxa"/>
            <w:shd w:val="clear" w:color="auto" w:fill="93CDDC"/>
            <w:tcMar>
              <w:top w:w="100" w:type="dxa"/>
              <w:left w:w="100" w:type="dxa"/>
              <w:bottom w:w="100" w:type="dxa"/>
              <w:right w:w="100" w:type="dxa"/>
            </w:tcMar>
            <w:vAlign w:val="center"/>
          </w:tcPr>
          <w:p w14:paraId="160CED16" w14:textId="77777777" w:rsidR="008A34AE" w:rsidRDefault="00F35562">
            <w:pPr>
              <w:widowControl w:val="0"/>
              <w:spacing w:line="240" w:lineRule="auto"/>
              <w:contextualSpacing w:val="0"/>
              <w:jc w:val="center"/>
              <w:rPr>
                <w:color w:val="205968"/>
                <w:sz w:val="20"/>
                <w:szCs w:val="20"/>
              </w:rPr>
            </w:pPr>
            <w:r>
              <w:rPr>
                <w:color w:val="205968"/>
                <w:sz w:val="20"/>
                <w:szCs w:val="20"/>
              </w:rPr>
              <w:t>65</w:t>
            </w:r>
          </w:p>
        </w:tc>
      </w:tr>
      <w:tr w:rsidR="008A34AE" w14:paraId="5B51474F" w14:textId="77777777">
        <w:tc>
          <w:tcPr>
            <w:tcW w:w="1815" w:type="dxa"/>
            <w:shd w:val="clear" w:color="auto" w:fill="31849B"/>
            <w:tcMar>
              <w:top w:w="100" w:type="dxa"/>
              <w:left w:w="100" w:type="dxa"/>
              <w:bottom w:w="100" w:type="dxa"/>
              <w:right w:w="100" w:type="dxa"/>
            </w:tcMar>
            <w:vAlign w:val="center"/>
          </w:tcPr>
          <w:p w14:paraId="00152C2E" w14:textId="77777777" w:rsidR="008A34AE" w:rsidRDefault="00F35562">
            <w:pPr>
              <w:widowControl w:val="0"/>
              <w:spacing w:line="240" w:lineRule="auto"/>
              <w:contextualSpacing w:val="0"/>
              <w:rPr>
                <w:color w:val="FFFFFF"/>
                <w:sz w:val="20"/>
                <w:szCs w:val="20"/>
              </w:rPr>
            </w:pPr>
            <w:r>
              <w:rPr>
                <w:color w:val="FFFFFF"/>
                <w:sz w:val="20"/>
                <w:szCs w:val="20"/>
              </w:rPr>
              <w:t>Tlaxcala</w:t>
            </w:r>
          </w:p>
        </w:tc>
        <w:tc>
          <w:tcPr>
            <w:tcW w:w="990" w:type="dxa"/>
            <w:shd w:val="clear" w:color="auto" w:fill="93CDDC"/>
            <w:tcMar>
              <w:top w:w="100" w:type="dxa"/>
              <w:left w:w="100" w:type="dxa"/>
              <w:bottom w:w="100" w:type="dxa"/>
              <w:right w:w="100" w:type="dxa"/>
            </w:tcMar>
            <w:vAlign w:val="center"/>
          </w:tcPr>
          <w:p w14:paraId="474C99E2" w14:textId="77777777" w:rsidR="008A34AE" w:rsidRDefault="00F35562">
            <w:pPr>
              <w:widowControl w:val="0"/>
              <w:spacing w:line="240" w:lineRule="auto"/>
              <w:contextualSpacing w:val="0"/>
              <w:jc w:val="center"/>
              <w:rPr>
                <w:color w:val="205968"/>
                <w:sz w:val="20"/>
                <w:szCs w:val="20"/>
              </w:rPr>
            </w:pPr>
            <w:r>
              <w:rPr>
                <w:color w:val="205968"/>
                <w:sz w:val="20"/>
                <w:szCs w:val="20"/>
              </w:rPr>
              <w:t>140</w:t>
            </w:r>
          </w:p>
        </w:tc>
        <w:tc>
          <w:tcPr>
            <w:tcW w:w="1605" w:type="dxa"/>
            <w:shd w:val="clear" w:color="auto" w:fill="93CDDC"/>
            <w:tcMar>
              <w:top w:w="100" w:type="dxa"/>
              <w:left w:w="100" w:type="dxa"/>
              <w:bottom w:w="100" w:type="dxa"/>
              <w:right w:w="100" w:type="dxa"/>
            </w:tcMar>
            <w:vAlign w:val="center"/>
          </w:tcPr>
          <w:p w14:paraId="60B83D48" w14:textId="77777777" w:rsidR="008A34AE" w:rsidRDefault="00F35562">
            <w:pPr>
              <w:widowControl w:val="0"/>
              <w:spacing w:line="240" w:lineRule="auto"/>
              <w:contextualSpacing w:val="0"/>
              <w:jc w:val="center"/>
              <w:rPr>
                <w:color w:val="205968"/>
                <w:sz w:val="20"/>
                <w:szCs w:val="20"/>
              </w:rPr>
            </w:pPr>
            <w:r>
              <w:rPr>
                <w:color w:val="205968"/>
                <w:sz w:val="20"/>
                <w:szCs w:val="20"/>
              </w:rPr>
              <w:t>N/A</w:t>
            </w:r>
          </w:p>
        </w:tc>
        <w:tc>
          <w:tcPr>
            <w:tcW w:w="1605" w:type="dxa"/>
            <w:shd w:val="clear" w:color="auto" w:fill="93CDDC"/>
            <w:tcMar>
              <w:top w:w="100" w:type="dxa"/>
              <w:left w:w="100" w:type="dxa"/>
              <w:bottom w:w="100" w:type="dxa"/>
              <w:right w:w="100" w:type="dxa"/>
            </w:tcMar>
            <w:vAlign w:val="center"/>
          </w:tcPr>
          <w:p w14:paraId="1713D3E4" w14:textId="77777777" w:rsidR="008A34AE" w:rsidRDefault="00F35562">
            <w:pPr>
              <w:widowControl w:val="0"/>
              <w:spacing w:line="240" w:lineRule="auto"/>
              <w:contextualSpacing w:val="0"/>
              <w:jc w:val="center"/>
              <w:rPr>
                <w:color w:val="205968"/>
                <w:sz w:val="20"/>
                <w:szCs w:val="20"/>
              </w:rPr>
            </w:pPr>
            <w:r>
              <w:rPr>
                <w:color w:val="205968"/>
                <w:sz w:val="20"/>
                <w:szCs w:val="20"/>
              </w:rPr>
              <w:t>N/A</w:t>
            </w:r>
          </w:p>
        </w:tc>
        <w:tc>
          <w:tcPr>
            <w:tcW w:w="1575" w:type="dxa"/>
            <w:shd w:val="clear" w:color="auto" w:fill="93CDDC"/>
            <w:tcMar>
              <w:top w:w="100" w:type="dxa"/>
              <w:left w:w="100" w:type="dxa"/>
              <w:bottom w:w="100" w:type="dxa"/>
              <w:right w:w="100" w:type="dxa"/>
            </w:tcMar>
            <w:vAlign w:val="center"/>
          </w:tcPr>
          <w:p w14:paraId="6EB49868" w14:textId="77777777" w:rsidR="008A34AE" w:rsidRDefault="00F35562">
            <w:pPr>
              <w:widowControl w:val="0"/>
              <w:spacing w:line="240" w:lineRule="auto"/>
              <w:contextualSpacing w:val="0"/>
              <w:jc w:val="center"/>
              <w:rPr>
                <w:color w:val="205968"/>
                <w:sz w:val="20"/>
                <w:szCs w:val="20"/>
              </w:rPr>
            </w:pPr>
            <w:r>
              <w:rPr>
                <w:color w:val="205968"/>
                <w:sz w:val="20"/>
                <w:szCs w:val="20"/>
              </w:rPr>
              <w:t>N/A</w:t>
            </w:r>
          </w:p>
        </w:tc>
        <w:tc>
          <w:tcPr>
            <w:tcW w:w="1425" w:type="dxa"/>
            <w:shd w:val="clear" w:color="auto" w:fill="93CDDC"/>
            <w:tcMar>
              <w:top w:w="100" w:type="dxa"/>
              <w:left w:w="100" w:type="dxa"/>
              <w:bottom w:w="100" w:type="dxa"/>
              <w:right w:w="100" w:type="dxa"/>
            </w:tcMar>
            <w:vAlign w:val="center"/>
          </w:tcPr>
          <w:p w14:paraId="2147D208" w14:textId="77777777" w:rsidR="008A34AE" w:rsidRDefault="00F35562">
            <w:pPr>
              <w:widowControl w:val="0"/>
              <w:spacing w:line="240" w:lineRule="auto"/>
              <w:contextualSpacing w:val="0"/>
              <w:jc w:val="center"/>
              <w:rPr>
                <w:color w:val="205968"/>
                <w:sz w:val="20"/>
                <w:szCs w:val="20"/>
              </w:rPr>
            </w:pPr>
            <w:r>
              <w:rPr>
                <w:color w:val="205968"/>
                <w:sz w:val="20"/>
                <w:szCs w:val="20"/>
              </w:rPr>
              <w:t>N/A</w:t>
            </w:r>
          </w:p>
        </w:tc>
      </w:tr>
      <w:tr w:rsidR="008A34AE" w14:paraId="6F8A7FCD" w14:textId="77777777">
        <w:tc>
          <w:tcPr>
            <w:tcW w:w="1815" w:type="dxa"/>
            <w:shd w:val="clear" w:color="auto" w:fill="31849B"/>
            <w:tcMar>
              <w:top w:w="100" w:type="dxa"/>
              <w:left w:w="100" w:type="dxa"/>
              <w:bottom w:w="100" w:type="dxa"/>
              <w:right w:w="100" w:type="dxa"/>
            </w:tcMar>
            <w:vAlign w:val="center"/>
          </w:tcPr>
          <w:p w14:paraId="582989B3" w14:textId="77777777" w:rsidR="008A34AE" w:rsidRDefault="00F35562">
            <w:pPr>
              <w:widowControl w:val="0"/>
              <w:pBdr>
                <w:top w:val="nil"/>
                <w:left w:val="nil"/>
                <w:bottom w:val="nil"/>
                <w:right w:val="nil"/>
                <w:between w:val="nil"/>
              </w:pBdr>
              <w:spacing w:line="240" w:lineRule="auto"/>
              <w:contextualSpacing w:val="0"/>
              <w:rPr>
                <w:color w:val="FFFFFF"/>
                <w:sz w:val="20"/>
                <w:szCs w:val="20"/>
              </w:rPr>
            </w:pPr>
            <w:r>
              <w:rPr>
                <w:color w:val="FFFFFF"/>
                <w:sz w:val="20"/>
                <w:szCs w:val="20"/>
              </w:rPr>
              <w:t>Chiapas</w:t>
            </w:r>
          </w:p>
        </w:tc>
        <w:tc>
          <w:tcPr>
            <w:tcW w:w="990" w:type="dxa"/>
            <w:shd w:val="clear" w:color="auto" w:fill="93CDDC"/>
            <w:tcMar>
              <w:top w:w="100" w:type="dxa"/>
              <w:left w:w="100" w:type="dxa"/>
              <w:bottom w:w="100" w:type="dxa"/>
              <w:right w:w="100" w:type="dxa"/>
            </w:tcMar>
            <w:vAlign w:val="center"/>
          </w:tcPr>
          <w:p w14:paraId="4C94765D"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115</w:t>
            </w:r>
          </w:p>
        </w:tc>
        <w:tc>
          <w:tcPr>
            <w:tcW w:w="1605" w:type="dxa"/>
            <w:shd w:val="clear" w:color="auto" w:fill="93CDDC"/>
            <w:tcMar>
              <w:top w:w="100" w:type="dxa"/>
              <w:left w:w="100" w:type="dxa"/>
              <w:bottom w:w="100" w:type="dxa"/>
              <w:right w:w="100" w:type="dxa"/>
            </w:tcMar>
            <w:vAlign w:val="center"/>
          </w:tcPr>
          <w:p w14:paraId="768D9B8F"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99</w:t>
            </w:r>
          </w:p>
        </w:tc>
        <w:tc>
          <w:tcPr>
            <w:tcW w:w="1605" w:type="dxa"/>
            <w:shd w:val="clear" w:color="auto" w:fill="93CDDC"/>
            <w:tcMar>
              <w:top w:w="100" w:type="dxa"/>
              <w:left w:w="100" w:type="dxa"/>
              <w:bottom w:w="100" w:type="dxa"/>
              <w:right w:w="100" w:type="dxa"/>
            </w:tcMar>
            <w:vAlign w:val="center"/>
          </w:tcPr>
          <w:p w14:paraId="3195AB9F"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10</w:t>
            </w:r>
          </w:p>
        </w:tc>
        <w:tc>
          <w:tcPr>
            <w:tcW w:w="1575" w:type="dxa"/>
            <w:shd w:val="clear" w:color="auto" w:fill="93CDDC"/>
            <w:tcMar>
              <w:top w:w="100" w:type="dxa"/>
              <w:left w:w="100" w:type="dxa"/>
              <w:bottom w:w="100" w:type="dxa"/>
              <w:right w:w="100" w:type="dxa"/>
            </w:tcMar>
            <w:vAlign w:val="center"/>
          </w:tcPr>
          <w:p w14:paraId="55E5B12D"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6</w:t>
            </w:r>
          </w:p>
        </w:tc>
        <w:tc>
          <w:tcPr>
            <w:tcW w:w="1425" w:type="dxa"/>
            <w:shd w:val="clear" w:color="auto" w:fill="93CDDC"/>
            <w:tcMar>
              <w:top w:w="100" w:type="dxa"/>
              <w:left w:w="100" w:type="dxa"/>
              <w:bottom w:w="100" w:type="dxa"/>
              <w:right w:w="100" w:type="dxa"/>
            </w:tcMar>
            <w:vAlign w:val="center"/>
          </w:tcPr>
          <w:p w14:paraId="67CAF0F3"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N/A</w:t>
            </w:r>
          </w:p>
        </w:tc>
      </w:tr>
      <w:tr w:rsidR="008A34AE" w14:paraId="657ADBC2" w14:textId="77777777">
        <w:tc>
          <w:tcPr>
            <w:tcW w:w="1815" w:type="dxa"/>
            <w:shd w:val="clear" w:color="auto" w:fill="31849B"/>
            <w:tcMar>
              <w:top w:w="100" w:type="dxa"/>
              <w:left w:w="100" w:type="dxa"/>
              <w:bottom w:w="100" w:type="dxa"/>
              <w:right w:w="100" w:type="dxa"/>
            </w:tcMar>
            <w:vAlign w:val="center"/>
          </w:tcPr>
          <w:p w14:paraId="2F55E066" w14:textId="77777777" w:rsidR="008A34AE" w:rsidRDefault="00F35562">
            <w:pPr>
              <w:widowControl w:val="0"/>
              <w:spacing w:line="240" w:lineRule="auto"/>
              <w:contextualSpacing w:val="0"/>
              <w:rPr>
                <w:color w:val="FFFFFF"/>
                <w:sz w:val="20"/>
                <w:szCs w:val="20"/>
              </w:rPr>
            </w:pPr>
            <w:r>
              <w:rPr>
                <w:color w:val="FFFFFF"/>
                <w:sz w:val="20"/>
                <w:szCs w:val="20"/>
              </w:rPr>
              <w:t>Guerrero</w:t>
            </w:r>
          </w:p>
        </w:tc>
        <w:tc>
          <w:tcPr>
            <w:tcW w:w="990" w:type="dxa"/>
            <w:shd w:val="clear" w:color="auto" w:fill="93CDDC"/>
            <w:tcMar>
              <w:top w:w="100" w:type="dxa"/>
              <w:left w:w="100" w:type="dxa"/>
              <w:bottom w:w="100" w:type="dxa"/>
              <w:right w:w="100" w:type="dxa"/>
            </w:tcMar>
            <w:vAlign w:val="center"/>
          </w:tcPr>
          <w:p w14:paraId="0C8E6586" w14:textId="77777777" w:rsidR="008A34AE" w:rsidRDefault="00F35562">
            <w:pPr>
              <w:widowControl w:val="0"/>
              <w:spacing w:line="240" w:lineRule="auto"/>
              <w:contextualSpacing w:val="0"/>
              <w:jc w:val="center"/>
              <w:rPr>
                <w:color w:val="205968"/>
                <w:sz w:val="20"/>
                <w:szCs w:val="20"/>
              </w:rPr>
            </w:pPr>
            <w:r>
              <w:rPr>
                <w:color w:val="205968"/>
                <w:sz w:val="20"/>
                <w:szCs w:val="20"/>
              </w:rPr>
              <w:t>100</w:t>
            </w:r>
          </w:p>
        </w:tc>
        <w:tc>
          <w:tcPr>
            <w:tcW w:w="1605" w:type="dxa"/>
            <w:shd w:val="clear" w:color="auto" w:fill="93CDDC"/>
            <w:tcMar>
              <w:top w:w="100" w:type="dxa"/>
              <w:left w:w="100" w:type="dxa"/>
              <w:bottom w:w="100" w:type="dxa"/>
              <w:right w:w="100" w:type="dxa"/>
            </w:tcMar>
            <w:vAlign w:val="center"/>
          </w:tcPr>
          <w:p w14:paraId="4DD98F8F" w14:textId="77777777" w:rsidR="008A34AE" w:rsidRDefault="00F35562">
            <w:pPr>
              <w:widowControl w:val="0"/>
              <w:spacing w:line="240" w:lineRule="auto"/>
              <w:contextualSpacing w:val="0"/>
              <w:jc w:val="center"/>
              <w:rPr>
                <w:color w:val="205968"/>
                <w:sz w:val="20"/>
                <w:szCs w:val="20"/>
              </w:rPr>
            </w:pPr>
            <w:r>
              <w:rPr>
                <w:color w:val="205968"/>
                <w:sz w:val="20"/>
                <w:szCs w:val="20"/>
              </w:rPr>
              <w:t>91</w:t>
            </w:r>
          </w:p>
        </w:tc>
        <w:tc>
          <w:tcPr>
            <w:tcW w:w="1605" w:type="dxa"/>
            <w:shd w:val="clear" w:color="auto" w:fill="93CDDC"/>
            <w:tcMar>
              <w:top w:w="100" w:type="dxa"/>
              <w:left w:w="100" w:type="dxa"/>
              <w:bottom w:w="100" w:type="dxa"/>
              <w:right w:w="100" w:type="dxa"/>
            </w:tcMar>
            <w:vAlign w:val="center"/>
          </w:tcPr>
          <w:p w14:paraId="2E653E89" w14:textId="77777777" w:rsidR="008A34AE" w:rsidRDefault="00F35562">
            <w:pPr>
              <w:widowControl w:val="0"/>
              <w:spacing w:line="240" w:lineRule="auto"/>
              <w:contextualSpacing w:val="0"/>
              <w:jc w:val="center"/>
              <w:rPr>
                <w:color w:val="205968"/>
                <w:sz w:val="20"/>
                <w:szCs w:val="20"/>
              </w:rPr>
            </w:pPr>
            <w:r>
              <w:rPr>
                <w:color w:val="205968"/>
                <w:sz w:val="20"/>
                <w:szCs w:val="20"/>
              </w:rPr>
              <w:t>4</w:t>
            </w:r>
          </w:p>
        </w:tc>
        <w:tc>
          <w:tcPr>
            <w:tcW w:w="1575" w:type="dxa"/>
            <w:shd w:val="clear" w:color="auto" w:fill="93CDDC"/>
            <w:tcMar>
              <w:top w:w="100" w:type="dxa"/>
              <w:left w:w="100" w:type="dxa"/>
              <w:bottom w:w="100" w:type="dxa"/>
              <w:right w:w="100" w:type="dxa"/>
            </w:tcMar>
            <w:vAlign w:val="center"/>
          </w:tcPr>
          <w:p w14:paraId="7D1CE296" w14:textId="77777777" w:rsidR="008A34AE" w:rsidRDefault="00F35562">
            <w:pPr>
              <w:widowControl w:val="0"/>
              <w:spacing w:line="240" w:lineRule="auto"/>
              <w:contextualSpacing w:val="0"/>
              <w:jc w:val="center"/>
              <w:rPr>
                <w:color w:val="205968"/>
                <w:sz w:val="20"/>
                <w:szCs w:val="20"/>
              </w:rPr>
            </w:pPr>
            <w:r>
              <w:rPr>
                <w:color w:val="205968"/>
                <w:sz w:val="20"/>
                <w:szCs w:val="20"/>
              </w:rPr>
              <w:t>5</w:t>
            </w:r>
          </w:p>
        </w:tc>
        <w:tc>
          <w:tcPr>
            <w:tcW w:w="1425" w:type="dxa"/>
            <w:shd w:val="clear" w:color="auto" w:fill="93CDDC"/>
            <w:tcMar>
              <w:top w:w="100" w:type="dxa"/>
              <w:left w:w="100" w:type="dxa"/>
              <w:bottom w:w="100" w:type="dxa"/>
              <w:right w:w="100" w:type="dxa"/>
            </w:tcMar>
            <w:vAlign w:val="center"/>
          </w:tcPr>
          <w:p w14:paraId="582D8602" w14:textId="77777777" w:rsidR="008A34AE" w:rsidRDefault="00F35562">
            <w:pPr>
              <w:widowControl w:val="0"/>
              <w:spacing w:line="240" w:lineRule="auto"/>
              <w:contextualSpacing w:val="0"/>
              <w:jc w:val="center"/>
              <w:rPr>
                <w:color w:val="205968"/>
                <w:sz w:val="20"/>
                <w:szCs w:val="20"/>
              </w:rPr>
            </w:pPr>
            <w:r>
              <w:rPr>
                <w:color w:val="205968"/>
                <w:sz w:val="20"/>
                <w:szCs w:val="20"/>
              </w:rPr>
              <w:t>N/A</w:t>
            </w:r>
          </w:p>
        </w:tc>
      </w:tr>
      <w:tr w:rsidR="008A34AE" w14:paraId="3BFD34FE" w14:textId="77777777">
        <w:tc>
          <w:tcPr>
            <w:tcW w:w="1815" w:type="dxa"/>
            <w:shd w:val="clear" w:color="auto" w:fill="31849B"/>
            <w:tcMar>
              <w:top w:w="100" w:type="dxa"/>
              <w:left w:w="100" w:type="dxa"/>
              <w:bottom w:w="100" w:type="dxa"/>
              <w:right w:w="100" w:type="dxa"/>
            </w:tcMar>
            <w:vAlign w:val="center"/>
          </w:tcPr>
          <w:p w14:paraId="354D83EF" w14:textId="77777777" w:rsidR="008A34AE" w:rsidRDefault="00F35562">
            <w:pPr>
              <w:widowControl w:val="0"/>
              <w:spacing w:line="240" w:lineRule="auto"/>
              <w:contextualSpacing w:val="0"/>
              <w:rPr>
                <w:color w:val="FFFFFF"/>
                <w:sz w:val="20"/>
                <w:szCs w:val="20"/>
              </w:rPr>
            </w:pPr>
            <w:r>
              <w:rPr>
                <w:color w:val="FFFFFF"/>
                <w:sz w:val="20"/>
                <w:szCs w:val="20"/>
              </w:rPr>
              <w:t>Hidalgo</w:t>
            </w:r>
          </w:p>
        </w:tc>
        <w:tc>
          <w:tcPr>
            <w:tcW w:w="990" w:type="dxa"/>
            <w:shd w:val="clear" w:color="auto" w:fill="93CDDC"/>
            <w:tcMar>
              <w:top w:w="100" w:type="dxa"/>
              <w:left w:w="100" w:type="dxa"/>
              <w:bottom w:w="100" w:type="dxa"/>
              <w:right w:w="100" w:type="dxa"/>
            </w:tcMar>
            <w:vAlign w:val="center"/>
          </w:tcPr>
          <w:p w14:paraId="79CB3539" w14:textId="77777777" w:rsidR="008A34AE" w:rsidRDefault="00F35562">
            <w:pPr>
              <w:widowControl w:val="0"/>
              <w:spacing w:line="240" w:lineRule="auto"/>
              <w:contextualSpacing w:val="0"/>
              <w:jc w:val="center"/>
              <w:rPr>
                <w:color w:val="205968"/>
                <w:sz w:val="20"/>
                <w:szCs w:val="20"/>
              </w:rPr>
            </w:pPr>
            <w:r>
              <w:rPr>
                <w:color w:val="205968"/>
                <w:sz w:val="20"/>
                <w:szCs w:val="20"/>
              </w:rPr>
              <w:t>30</w:t>
            </w:r>
          </w:p>
        </w:tc>
        <w:tc>
          <w:tcPr>
            <w:tcW w:w="1605" w:type="dxa"/>
            <w:shd w:val="clear" w:color="auto" w:fill="93CDDC"/>
            <w:tcMar>
              <w:top w:w="100" w:type="dxa"/>
              <w:left w:w="100" w:type="dxa"/>
              <w:bottom w:w="100" w:type="dxa"/>
              <w:right w:w="100" w:type="dxa"/>
            </w:tcMar>
            <w:vAlign w:val="center"/>
          </w:tcPr>
          <w:p w14:paraId="03C5BDE7" w14:textId="77777777" w:rsidR="008A34AE" w:rsidRDefault="00F35562">
            <w:pPr>
              <w:widowControl w:val="0"/>
              <w:spacing w:line="240" w:lineRule="auto"/>
              <w:contextualSpacing w:val="0"/>
              <w:jc w:val="center"/>
              <w:rPr>
                <w:color w:val="205968"/>
                <w:sz w:val="20"/>
                <w:szCs w:val="20"/>
              </w:rPr>
            </w:pPr>
            <w:r>
              <w:rPr>
                <w:color w:val="205968"/>
                <w:sz w:val="20"/>
                <w:szCs w:val="20"/>
              </w:rPr>
              <w:t>23</w:t>
            </w:r>
          </w:p>
        </w:tc>
        <w:tc>
          <w:tcPr>
            <w:tcW w:w="1605" w:type="dxa"/>
            <w:shd w:val="clear" w:color="auto" w:fill="93CDDC"/>
            <w:tcMar>
              <w:top w:w="100" w:type="dxa"/>
              <w:left w:w="100" w:type="dxa"/>
              <w:bottom w:w="100" w:type="dxa"/>
              <w:right w:w="100" w:type="dxa"/>
            </w:tcMar>
            <w:vAlign w:val="center"/>
          </w:tcPr>
          <w:p w14:paraId="5412F380" w14:textId="77777777" w:rsidR="008A34AE" w:rsidRDefault="00F35562">
            <w:pPr>
              <w:widowControl w:val="0"/>
              <w:spacing w:line="240" w:lineRule="auto"/>
              <w:contextualSpacing w:val="0"/>
              <w:jc w:val="center"/>
              <w:rPr>
                <w:color w:val="205968"/>
                <w:sz w:val="20"/>
                <w:szCs w:val="20"/>
              </w:rPr>
            </w:pPr>
            <w:r>
              <w:rPr>
                <w:color w:val="205968"/>
                <w:sz w:val="20"/>
                <w:szCs w:val="20"/>
              </w:rPr>
              <w:t>1</w:t>
            </w:r>
          </w:p>
        </w:tc>
        <w:tc>
          <w:tcPr>
            <w:tcW w:w="1575" w:type="dxa"/>
            <w:shd w:val="clear" w:color="auto" w:fill="93CDDC"/>
            <w:tcMar>
              <w:top w:w="100" w:type="dxa"/>
              <w:left w:w="100" w:type="dxa"/>
              <w:bottom w:w="100" w:type="dxa"/>
              <w:right w:w="100" w:type="dxa"/>
            </w:tcMar>
            <w:vAlign w:val="center"/>
          </w:tcPr>
          <w:p w14:paraId="76145242" w14:textId="77777777" w:rsidR="008A34AE" w:rsidRDefault="00F35562">
            <w:pPr>
              <w:widowControl w:val="0"/>
              <w:spacing w:line="240" w:lineRule="auto"/>
              <w:contextualSpacing w:val="0"/>
              <w:jc w:val="center"/>
              <w:rPr>
                <w:color w:val="205968"/>
                <w:sz w:val="20"/>
                <w:szCs w:val="20"/>
              </w:rPr>
            </w:pPr>
            <w:r>
              <w:rPr>
                <w:color w:val="205968"/>
                <w:sz w:val="20"/>
                <w:szCs w:val="20"/>
              </w:rPr>
              <w:t>3</w:t>
            </w:r>
          </w:p>
        </w:tc>
        <w:tc>
          <w:tcPr>
            <w:tcW w:w="1425" w:type="dxa"/>
            <w:shd w:val="clear" w:color="auto" w:fill="93CDDC"/>
            <w:tcMar>
              <w:top w:w="100" w:type="dxa"/>
              <w:left w:w="100" w:type="dxa"/>
              <w:bottom w:w="100" w:type="dxa"/>
              <w:right w:w="100" w:type="dxa"/>
            </w:tcMar>
            <w:vAlign w:val="center"/>
          </w:tcPr>
          <w:p w14:paraId="04A4A93D" w14:textId="77777777" w:rsidR="008A34AE" w:rsidRDefault="00F35562">
            <w:pPr>
              <w:widowControl w:val="0"/>
              <w:spacing w:line="240" w:lineRule="auto"/>
              <w:contextualSpacing w:val="0"/>
              <w:jc w:val="center"/>
              <w:rPr>
                <w:color w:val="205968"/>
                <w:sz w:val="20"/>
                <w:szCs w:val="20"/>
              </w:rPr>
            </w:pPr>
            <w:r>
              <w:rPr>
                <w:color w:val="205968"/>
                <w:sz w:val="20"/>
                <w:szCs w:val="20"/>
              </w:rPr>
              <w:t>3</w:t>
            </w:r>
          </w:p>
        </w:tc>
      </w:tr>
      <w:tr w:rsidR="008A34AE" w14:paraId="764E64FD" w14:textId="77777777">
        <w:tc>
          <w:tcPr>
            <w:tcW w:w="1815" w:type="dxa"/>
            <w:shd w:val="clear" w:color="auto" w:fill="31849B"/>
            <w:tcMar>
              <w:top w:w="100" w:type="dxa"/>
              <w:left w:w="100" w:type="dxa"/>
              <w:bottom w:w="100" w:type="dxa"/>
              <w:right w:w="100" w:type="dxa"/>
            </w:tcMar>
            <w:vAlign w:val="center"/>
          </w:tcPr>
          <w:p w14:paraId="7BE6D813" w14:textId="77777777" w:rsidR="008A34AE" w:rsidRDefault="00F35562">
            <w:pPr>
              <w:widowControl w:val="0"/>
              <w:spacing w:line="240" w:lineRule="auto"/>
              <w:contextualSpacing w:val="0"/>
              <w:rPr>
                <w:color w:val="FFFFFF"/>
                <w:sz w:val="20"/>
                <w:szCs w:val="20"/>
              </w:rPr>
            </w:pPr>
            <w:r>
              <w:rPr>
                <w:color w:val="FFFFFF"/>
                <w:sz w:val="20"/>
                <w:szCs w:val="20"/>
              </w:rPr>
              <w:t>Tabasco</w:t>
            </w:r>
          </w:p>
        </w:tc>
        <w:tc>
          <w:tcPr>
            <w:tcW w:w="990" w:type="dxa"/>
            <w:shd w:val="clear" w:color="auto" w:fill="93CDDC"/>
            <w:tcMar>
              <w:top w:w="100" w:type="dxa"/>
              <w:left w:w="100" w:type="dxa"/>
              <w:bottom w:w="100" w:type="dxa"/>
              <w:right w:w="100" w:type="dxa"/>
            </w:tcMar>
            <w:vAlign w:val="center"/>
          </w:tcPr>
          <w:p w14:paraId="61FC4F01" w14:textId="77777777" w:rsidR="008A34AE" w:rsidRDefault="00F35562">
            <w:pPr>
              <w:widowControl w:val="0"/>
              <w:spacing w:line="240" w:lineRule="auto"/>
              <w:contextualSpacing w:val="0"/>
              <w:jc w:val="center"/>
              <w:rPr>
                <w:color w:val="205968"/>
                <w:sz w:val="20"/>
                <w:szCs w:val="20"/>
              </w:rPr>
            </w:pPr>
            <w:r>
              <w:rPr>
                <w:color w:val="205968"/>
                <w:sz w:val="20"/>
                <w:szCs w:val="20"/>
              </w:rPr>
              <w:t>27</w:t>
            </w:r>
          </w:p>
        </w:tc>
        <w:tc>
          <w:tcPr>
            <w:tcW w:w="1605" w:type="dxa"/>
            <w:shd w:val="clear" w:color="auto" w:fill="93CDDC"/>
            <w:tcMar>
              <w:top w:w="100" w:type="dxa"/>
              <w:left w:w="100" w:type="dxa"/>
              <w:bottom w:w="100" w:type="dxa"/>
              <w:right w:w="100" w:type="dxa"/>
            </w:tcMar>
            <w:vAlign w:val="center"/>
          </w:tcPr>
          <w:p w14:paraId="276FCE2E" w14:textId="77777777" w:rsidR="008A34AE" w:rsidRDefault="00F35562">
            <w:pPr>
              <w:widowControl w:val="0"/>
              <w:spacing w:line="240" w:lineRule="auto"/>
              <w:contextualSpacing w:val="0"/>
              <w:jc w:val="center"/>
              <w:rPr>
                <w:color w:val="205968"/>
                <w:sz w:val="20"/>
                <w:szCs w:val="20"/>
              </w:rPr>
            </w:pPr>
            <w:r>
              <w:rPr>
                <w:color w:val="205968"/>
                <w:sz w:val="20"/>
                <w:szCs w:val="20"/>
              </w:rPr>
              <w:t>14</w:t>
            </w:r>
          </w:p>
        </w:tc>
        <w:tc>
          <w:tcPr>
            <w:tcW w:w="1605" w:type="dxa"/>
            <w:shd w:val="clear" w:color="auto" w:fill="93CDDC"/>
            <w:tcMar>
              <w:top w:w="100" w:type="dxa"/>
              <w:left w:w="100" w:type="dxa"/>
              <w:bottom w:w="100" w:type="dxa"/>
              <w:right w:w="100" w:type="dxa"/>
            </w:tcMar>
            <w:vAlign w:val="center"/>
          </w:tcPr>
          <w:p w14:paraId="07457502" w14:textId="77777777" w:rsidR="008A34AE" w:rsidRDefault="00F35562">
            <w:pPr>
              <w:widowControl w:val="0"/>
              <w:spacing w:line="240" w:lineRule="auto"/>
              <w:contextualSpacing w:val="0"/>
              <w:jc w:val="center"/>
              <w:rPr>
                <w:color w:val="205968"/>
                <w:sz w:val="20"/>
                <w:szCs w:val="20"/>
              </w:rPr>
            </w:pPr>
            <w:r>
              <w:rPr>
                <w:color w:val="205968"/>
                <w:sz w:val="20"/>
                <w:szCs w:val="20"/>
              </w:rPr>
              <w:t>11</w:t>
            </w:r>
          </w:p>
        </w:tc>
        <w:tc>
          <w:tcPr>
            <w:tcW w:w="1575" w:type="dxa"/>
            <w:shd w:val="clear" w:color="auto" w:fill="93CDDC"/>
            <w:tcMar>
              <w:top w:w="100" w:type="dxa"/>
              <w:left w:w="100" w:type="dxa"/>
              <w:bottom w:w="100" w:type="dxa"/>
              <w:right w:w="100" w:type="dxa"/>
            </w:tcMar>
            <w:vAlign w:val="center"/>
          </w:tcPr>
          <w:p w14:paraId="0EA68D58" w14:textId="77777777" w:rsidR="008A34AE" w:rsidRDefault="00F35562">
            <w:pPr>
              <w:widowControl w:val="0"/>
              <w:spacing w:line="240" w:lineRule="auto"/>
              <w:contextualSpacing w:val="0"/>
              <w:jc w:val="center"/>
              <w:rPr>
                <w:color w:val="205968"/>
                <w:sz w:val="20"/>
                <w:szCs w:val="20"/>
              </w:rPr>
            </w:pPr>
            <w:r>
              <w:rPr>
                <w:color w:val="205968"/>
                <w:sz w:val="20"/>
                <w:szCs w:val="20"/>
              </w:rPr>
              <w:t>2</w:t>
            </w:r>
          </w:p>
        </w:tc>
        <w:tc>
          <w:tcPr>
            <w:tcW w:w="1425" w:type="dxa"/>
            <w:shd w:val="clear" w:color="auto" w:fill="93CDDC"/>
            <w:tcMar>
              <w:top w:w="100" w:type="dxa"/>
              <w:left w:w="100" w:type="dxa"/>
              <w:bottom w:w="100" w:type="dxa"/>
              <w:right w:w="100" w:type="dxa"/>
            </w:tcMar>
            <w:vAlign w:val="center"/>
          </w:tcPr>
          <w:p w14:paraId="2689249D" w14:textId="77777777" w:rsidR="008A34AE" w:rsidRDefault="00F35562">
            <w:pPr>
              <w:widowControl w:val="0"/>
              <w:spacing w:line="240" w:lineRule="auto"/>
              <w:contextualSpacing w:val="0"/>
              <w:jc w:val="center"/>
              <w:rPr>
                <w:color w:val="205968"/>
                <w:sz w:val="20"/>
                <w:szCs w:val="20"/>
              </w:rPr>
            </w:pPr>
            <w:r>
              <w:rPr>
                <w:color w:val="205968"/>
                <w:sz w:val="20"/>
                <w:szCs w:val="20"/>
              </w:rPr>
              <w:t>N/A</w:t>
            </w:r>
          </w:p>
        </w:tc>
      </w:tr>
      <w:tr w:rsidR="008A34AE" w14:paraId="7C4235E4" w14:textId="77777777">
        <w:tc>
          <w:tcPr>
            <w:tcW w:w="1815" w:type="dxa"/>
            <w:shd w:val="clear" w:color="auto" w:fill="31849B"/>
            <w:tcMar>
              <w:top w:w="100" w:type="dxa"/>
              <w:left w:w="100" w:type="dxa"/>
              <w:bottom w:w="100" w:type="dxa"/>
              <w:right w:w="100" w:type="dxa"/>
            </w:tcMar>
            <w:vAlign w:val="center"/>
          </w:tcPr>
          <w:p w14:paraId="38852277" w14:textId="77777777" w:rsidR="008A34AE" w:rsidRDefault="00F35562">
            <w:pPr>
              <w:widowControl w:val="0"/>
              <w:spacing w:line="240" w:lineRule="auto"/>
              <w:contextualSpacing w:val="0"/>
              <w:rPr>
                <w:color w:val="FFFFFF"/>
                <w:sz w:val="20"/>
                <w:szCs w:val="20"/>
              </w:rPr>
            </w:pPr>
            <w:r>
              <w:rPr>
                <w:color w:val="FFFFFF"/>
                <w:sz w:val="20"/>
                <w:szCs w:val="20"/>
              </w:rPr>
              <w:t>Veracruz</w:t>
            </w:r>
          </w:p>
        </w:tc>
        <w:tc>
          <w:tcPr>
            <w:tcW w:w="990" w:type="dxa"/>
            <w:shd w:val="clear" w:color="auto" w:fill="93CDDC"/>
            <w:tcMar>
              <w:top w:w="100" w:type="dxa"/>
              <w:left w:w="100" w:type="dxa"/>
              <w:bottom w:w="100" w:type="dxa"/>
              <w:right w:w="100" w:type="dxa"/>
            </w:tcMar>
            <w:vAlign w:val="center"/>
          </w:tcPr>
          <w:p w14:paraId="66880013" w14:textId="77777777" w:rsidR="008A34AE" w:rsidRDefault="00F35562">
            <w:pPr>
              <w:widowControl w:val="0"/>
              <w:spacing w:line="240" w:lineRule="auto"/>
              <w:contextualSpacing w:val="0"/>
              <w:jc w:val="center"/>
              <w:rPr>
                <w:color w:val="205968"/>
                <w:sz w:val="20"/>
                <w:szCs w:val="20"/>
              </w:rPr>
            </w:pPr>
            <w:r>
              <w:rPr>
                <w:color w:val="205968"/>
                <w:sz w:val="20"/>
                <w:szCs w:val="20"/>
              </w:rPr>
              <w:t>22</w:t>
            </w:r>
          </w:p>
        </w:tc>
        <w:tc>
          <w:tcPr>
            <w:tcW w:w="1605" w:type="dxa"/>
            <w:shd w:val="clear" w:color="auto" w:fill="93CDDC"/>
            <w:tcMar>
              <w:top w:w="100" w:type="dxa"/>
              <w:left w:w="100" w:type="dxa"/>
              <w:bottom w:w="100" w:type="dxa"/>
              <w:right w:w="100" w:type="dxa"/>
            </w:tcMar>
            <w:vAlign w:val="center"/>
          </w:tcPr>
          <w:p w14:paraId="0A77D8BC" w14:textId="77777777" w:rsidR="008A34AE" w:rsidRDefault="00F35562">
            <w:pPr>
              <w:widowControl w:val="0"/>
              <w:spacing w:line="240" w:lineRule="auto"/>
              <w:contextualSpacing w:val="0"/>
              <w:jc w:val="center"/>
              <w:rPr>
                <w:color w:val="205968"/>
                <w:sz w:val="20"/>
                <w:szCs w:val="20"/>
              </w:rPr>
            </w:pPr>
            <w:r>
              <w:rPr>
                <w:color w:val="205968"/>
                <w:sz w:val="20"/>
                <w:szCs w:val="20"/>
              </w:rPr>
              <w:t>19</w:t>
            </w:r>
          </w:p>
        </w:tc>
        <w:tc>
          <w:tcPr>
            <w:tcW w:w="1605" w:type="dxa"/>
            <w:shd w:val="clear" w:color="auto" w:fill="93CDDC"/>
            <w:tcMar>
              <w:top w:w="100" w:type="dxa"/>
              <w:left w:w="100" w:type="dxa"/>
              <w:bottom w:w="100" w:type="dxa"/>
              <w:right w:w="100" w:type="dxa"/>
            </w:tcMar>
            <w:vAlign w:val="center"/>
          </w:tcPr>
          <w:p w14:paraId="32C25321" w14:textId="77777777" w:rsidR="008A34AE" w:rsidRDefault="00F35562">
            <w:pPr>
              <w:widowControl w:val="0"/>
              <w:spacing w:line="240" w:lineRule="auto"/>
              <w:contextualSpacing w:val="0"/>
              <w:jc w:val="center"/>
              <w:rPr>
                <w:color w:val="205968"/>
                <w:sz w:val="20"/>
                <w:szCs w:val="20"/>
              </w:rPr>
            </w:pPr>
            <w:r>
              <w:rPr>
                <w:color w:val="205968"/>
                <w:sz w:val="20"/>
                <w:szCs w:val="20"/>
              </w:rPr>
              <w:t>2</w:t>
            </w:r>
          </w:p>
        </w:tc>
        <w:tc>
          <w:tcPr>
            <w:tcW w:w="1575" w:type="dxa"/>
            <w:shd w:val="clear" w:color="auto" w:fill="93CDDC"/>
            <w:tcMar>
              <w:top w:w="100" w:type="dxa"/>
              <w:left w:w="100" w:type="dxa"/>
              <w:bottom w:w="100" w:type="dxa"/>
              <w:right w:w="100" w:type="dxa"/>
            </w:tcMar>
            <w:vAlign w:val="center"/>
          </w:tcPr>
          <w:p w14:paraId="63FBE09E" w14:textId="77777777" w:rsidR="008A34AE" w:rsidRDefault="00F35562">
            <w:pPr>
              <w:widowControl w:val="0"/>
              <w:spacing w:line="240" w:lineRule="auto"/>
              <w:contextualSpacing w:val="0"/>
              <w:jc w:val="center"/>
              <w:rPr>
                <w:color w:val="205968"/>
                <w:sz w:val="20"/>
                <w:szCs w:val="20"/>
              </w:rPr>
            </w:pPr>
            <w:r>
              <w:rPr>
                <w:color w:val="205968"/>
                <w:sz w:val="20"/>
                <w:szCs w:val="20"/>
              </w:rPr>
              <w:t>-</w:t>
            </w:r>
          </w:p>
        </w:tc>
        <w:tc>
          <w:tcPr>
            <w:tcW w:w="1425" w:type="dxa"/>
            <w:shd w:val="clear" w:color="auto" w:fill="93CDDC"/>
            <w:tcMar>
              <w:top w:w="100" w:type="dxa"/>
              <w:left w:w="100" w:type="dxa"/>
              <w:bottom w:w="100" w:type="dxa"/>
              <w:right w:w="100" w:type="dxa"/>
            </w:tcMar>
            <w:vAlign w:val="center"/>
          </w:tcPr>
          <w:p w14:paraId="50E5001D" w14:textId="77777777" w:rsidR="008A34AE" w:rsidRDefault="00F35562">
            <w:pPr>
              <w:widowControl w:val="0"/>
              <w:spacing w:line="240" w:lineRule="auto"/>
              <w:contextualSpacing w:val="0"/>
              <w:jc w:val="center"/>
              <w:rPr>
                <w:color w:val="205968"/>
                <w:sz w:val="20"/>
                <w:szCs w:val="20"/>
              </w:rPr>
            </w:pPr>
            <w:r>
              <w:rPr>
                <w:color w:val="205968"/>
                <w:sz w:val="20"/>
                <w:szCs w:val="20"/>
              </w:rPr>
              <w:t>1</w:t>
            </w:r>
          </w:p>
        </w:tc>
      </w:tr>
      <w:tr w:rsidR="008A34AE" w14:paraId="1930F1A7" w14:textId="77777777">
        <w:tc>
          <w:tcPr>
            <w:tcW w:w="1815" w:type="dxa"/>
            <w:shd w:val="clear" w:color="auto" w:fill="205968"/>
            <w:tcMar>
              <w:top w:w="100" w:type="dxa"/>
              <w:left w:w="100" w:type="dxa"/>
              <w:bottom w:w="100" w:type="dxa"/>
              <w:right w:w="100" w:type="dxa"/>
            </w:tcMar>
            <w:vAlign w:val="center"/>
          </w:tcPr>
          <w:p w14:paraId="131A7879" w14:textId="77777777" w:rsidR="008A34AE" w:rsidRDefault="00F35562">
            <w:pPr>
              <w:widowControl w:val="0"/>
              <w:pBdr>
                <w:top w:val="nil"/>
                <w:left w:val="nil"/>
                <w:bottom w:val="nil"/>
                <w:right w:val="nil"/>
                <w:between w:val="nil"/>
              </w:pBdr>
              <w:spacing w:line="240" w:lineRule="auto"/>
              <w:contextualSpacing w:val="0"/>
              <w:rPr>
                <w:b/>
                <w:color w:val="FFFFFF"/>
                <w:sz w:val="20"/>
                <w:szCs w:val="20"/>
              </w:rPr>
            </w:pPr>
            <w:r>
              <w:rPr>
                <w:b/>
                <w:color w:val="FFFFFF"/>
                <w:sz w:val="20"/>
                <w:szCs w:val="20"/>
              </w:rPr>
              <w:t>Total</w:t>
            </w:r>
          </w:p>
        </w:tc>
        <w:tc>
          <w:tcPr>
            <w:tcW w:w="990" w:type="dxa"/>
            <w:shd w:val="clear" w:color="auto" w:fill="205968"/>
            <w:tcMar>
              <w:top w:w="100" w:type="dxa"/>
              <w:left w:w="100" w:type="dxa"/>
              <w:bottom w:w="100" w:type="dxa"/>
              <w:right w:w="100" w:type="dxa"/>
            </w:tcMar>
            <w:vAlign w:val="center"/>
          </w:tcPr>
          <w:p w14:paraId="798C6B2F" w14:textId="77777777" w:rsidR="008A34AE" w:rsidRDefault="00F35562">
            <w:pPr>
              <w:widowControl w:val="0"/>
              <w:pBdr>
                <w:top w:val="nil"/>
                <w:left w:val="nil"/>
                <w:bottom w:val="nil"/>
                <w:right w:val="nil"/>
                <w:between w:val="nil"/>
              </w:pBdr>
              <w:spacing w:line="240" w:lineRule="auto"/>
              <w:contextualSpacing w:val="0"/>
              <w:jc w:val="center"/>
              <w:rPr>
                <w:b/>
                <w:color w:val="FFFFFF"/>
                <w:sz w:val="20"/>
                <w:szCs w:val="20"/>
              </w:rPr>
            </w:pPr>
            <w:r>
              <w:rPr>
                <w:b/>
                <w:color w:val="FFFFFF"/>
                <w:sz w:val="20"/>
                <w:szCs w:val="20"/>
              </w:rPr>
              <w:t>2,694</w:t>
            </w:r>
          </w:p>
        </w:tc>
        <w:tc>
          <w:tcPr>
            <w:tcW w:w="1605" w:type="dxa"/>
            <w:shd w:val="clear" w:color="auto" w:fill="205968"/>
            <w:tcMar>
              <w:top w:w="100" w:type="dxa"/>
              <w:left w:w="100" w:type="dxa"/>
              <w:bottom w:w="100" w:type="dxa"/>
              <w:right w:w="100" w:type="dxa"/>
            </w:tcMar>
            <w:vAlign w:val="center"/>
          </w:tcPr>
          <w:p w14:paraId="1AF8D0E1" w14:textId="77777777" w:rsidR="008A34AE" w:rsidRDefault="00F35562">
            <w:pPr>
              <w:widowControl w:val="0"/>
              <w:pBdr>
                <w:top w:val="nil"/>
                <w:left w:val="nil"/>
                <w:bottom w:val="nil"/>
                <w:right w:val="nil"/>
                <w:between w:val="nil"/>
              </w:pBdr>
              <w:spacing w:line="240" w:lineRule="auto"/>
              <w:contextualSpacing w:val="0"/>
              <w:jc w:val="center"/>
              <w:rPr>
                <w:b/>
                <w:color w:val="FFFFFF"/>
                <w:sz w:val="20"/>
                <w:szCs w:val="20"/>
              </w:rPr>
            </w:pPr>
            <w:r>
              <w:rPr>
                <w:b/>
                <w:color w:val="FFFFFF"/>
                <w:sz w:val="20"/>
                <w:szCs w:val="20"/>
              </w:rPr>
              <w:t>2,369</w:t>
            </w:r>
          </w:p>
        </w:tc>
        <w:tc>
          <w:tcPr>
            <w:tcW w:w="1605" w:type="dxa"/>
            <w:shd w:val="clear" w:color="auto" w:fill="205968"/>
            <w:tcMar>
              <w:top w:w="100" w:type="dxa"/>
              <w:left w:w="100" w:type="dxa"/>
              <w:bottom w:w="100" w:type="dxa"/>
              <w:right w:w="100" w:type="dxa"/>
            </w:tcMar>
            <w:vAlign w:val="center"/>
          </w:tcPr>
          <w:p w14:paraId="5672034E" w14:textId="77777777" w:rsidR="008A34AE" w:rsidRDefault="00F35562">
            <w:pPr>
              <w:widowControl w:val="0"/>
              <w:pBdr>
                <w:top w:val="nil"/>
                <w:left w:val="nil"/>
                <w:bottom w:val="nil"/>
                <w:right w:val="nil"/>
                <w:between w:val="nil"/>
              </w:pBdr>
              <w:spacing w:line="240" w:lineRule="auto"/>
              <w:contextualSpacing w:val="0"/>
              <w:jc w:val="center"/>
              <w:rPr>
                <w:b/>
                <w:color w:val="FFFFFF"/>
                <w:sz w:val="20"/>
                <w:szCs w:val="20"/>
              </w:rPr>
            </w:pPr>
            <w:r>
              <w:rPr>
                <w:b/>
                <w:color w:val="FFFFFF"/>
                <w:sz w:val="20"/>
                <w:szCs w:val="20"/>
              </w:rPr>
              <w:t>55</w:t>
            </w:r>
          </w:p>
        </w:tc>
        <w:tc>
          <w:tcPr>
            <w:tcW w:w="1575" w:type="dxa"/>
            <w:shd w:val="clear" w:color="auto" w:fill="205968"/>
            <w:tcMar>
              <w:top w:w="100" w:type="dxa"/>
              <w:left w:w="100" w:type="dxa"/>
              <w:bottom w:w="100" w:type="dxa"/>
              <w:right w:w="100" w:type="dxa"/>
            </w:tcMar>
            <w:vAlign w:val="center"/>
          </w:tcPr>
          <w:p w14:paraId="6EF5B0AF" w14:textId="77777777" w:rsidR="008A34AE" w:rsidRDefault="00F35562">
            <w:pPr>
              <w:widowControl w:val="0"/>
              <w:pBdr>
                <w:top w:val="nil"/>
                <w:left w:val="nil"/>
                <w:bottom w:val="nil"/>
                <w:right w:val="nil"/>
                <w:between w:val="nil"/>
              </w:pBdr>
              <w:spacing w:line="240" w:lineRule="auto"/>
              <w:contextualSpacing w:val="0"/>
              <w:jc w:val="center"/>
              <w:rPr>
                <w:b/>
                <w:color w:val="FFFFFF"/>
                <w:sz w:val="20"/>
                <w:szCs w:val="20"/>
              </w:rPr>
            </w:pPr>
            <w:r>
              <w:rPr>
                <w:b/>
                <w:color w:val="FFFFFF"/>
                <w:sz w:val="20"/>
                <w:szCs w:val="20"/>
              </w:rPr>
              <w:t>45</w:t>
            </w:r>
          </w:p>
        </w:tc>
        <w:tc>
          <w:tcPr>
            <w:tcW w:w="1425" w:type="dxa"/>
            <w:shd w:val="clear" w:color="auto" w:fill="205968"/>
            <w:tcMar>
              <w:top w:w="100" w:type="dxa"/>
              <w:left w:w="100" w:type="dxa"/>
              <w:bottom w:w="100" w:type="dxa"/>
              <w:right w:w="100" w:type="dxa"/>
            </w:tcMar>
            <w:vAlign w:val="center"/>
          </w:tcPr>
          <w:p w14:paraId="6288123F" w14:textId="77777777" w:rsidR="008A34AE" w:rsidRDefault="00F35562">
            <w:pPr>
              <w:widowControl w:val="0"/>
              <w:pBdr>
                <w:top w:val="nil"/>
                <w:left w:val="nil"/>
                <w:bottom w:val="nil"/>
                <w:right w:val="nil"/>
                <w:between w:val="nil"/>
              </w:pBdr>
              <w:spacing w:line="240" w:lineRule="auto"/>
              <w:contextualSpacing w:val="0"/>
              <w:jc w:val="center"/>
              <w:rPr>
                <w:b/>
                <w:color w:val="FFFFFF"/>
                <w:sz w:val="20"/>
                <w:szCs w:val="20"/>
              </w:rPr>
            </w:pPr>
            <w:r>
              <w:rPr>
                <w:b/>
                <w:color w:val="FFFFFF"/>
                <w:sz w:val="20"/>
                <w:szCs w:val="20"/>
              </w:rPr>
              <w:t>85</w:t>
            </w:r>
          </w:p>
        </w:tc>
      </w:tr>
    </w:tbl>
    <w:p w14:paraId="05B34354" w14:textId="77777777" w:rsidR="008A34AE" w:rsidRDefault="00F35562">
      <w:pPr>
        <w:widowControl w:val="0"/>
        <w:spacing w:line="240" w:lineRule="auto"/>
        <w:contextualSpacing w:val="0"/>
        <w:jc w:val="both"/>
        <w:rPr>
          <w:color w:val="595959"/>
          <w:sz w:val="16"/>
          <w:szCs w:val="16"/>
          <w:highlight w:val="white"/>
        </w:rPr>
      </w:pPr>
      <w:r>
        <w:rPr>
          <w:b/>
          <w:color w:val="595959"/>
          <w:sz w:val="16"/>
          <w:szCs w:val="16"/>
          <w:highlight w:val="white"/>
        </w:rPr>
        <w:t>Fuente:</w:t>
      </w:r>
      <w:r>
        <w:rPr>
          <w:color w:val="595959"/>
          <w:sz w:val="16"/>
          <w:szCs w:val="16"/>
          <w:highlight w:val="white"/>
        </w:rPr>
        <w:t xml:space="preserve"> </w:t>
      </w:r>
      <w:r>
        <w:rPr>
          <w:color w:val="595959"/>
          <w:sz w:val="16"/>
          <w:szCs w:val="16"/>
        </w:rPr>
        <w:t xml:space="preserve">Elaboración propia con información de la base de datos de Patrimonio cultural e histórico dañado, </w:t>
      </w:r>
      <w:r w:rsidR="00EB780C">
        <w:rPr>
          <w:color w:val="595959"/>
          <w:sz w:val="16"/>
          <w:szCs w:val="16"/>
        </w:rPr>
        <w:t>realizada</w:t>
      </w:r>
      <w:r>
        <w:rPr>
          <w:color w:val="595959"/>
          <w:sz w:val="16"/>
          <w:szCs w:val="16"/>
        </w:rPr>
        <w:t xml:space="preserve"> por la Secretaría de Cultura y publicada, en su última actualización el 9 de mayo de 2018, en el micrositio Fuerza México de la Plataforma de Transparencia Presupuestaria, SHCP. Consultada el 7 de septiembre de 2018.</w:t>
      </w:r>
    </w:p>
    <w:p w14:paraId="492A8EB5" w14:textId="77777777" w:rsidR="008A34AE" w:rsidRDefault="008A34AE">
      <w:pPr>
        <w:widowControl w:val="0"/>
        <w:spacing w:line="240" w:lineRule="auto"/>
        <w:contextualSpacing w:val="0"/>
        <w:rPr>
          <w:b/>
          <w:color w:val="595959"/>
          <w:highlight w:val="white"/>
        </w:rPr>
      </w:pPr>
    </w:p>
    <w:p w14:paraId="00B1A181" w14:textId="77777777" w:rsidR="008A34AE" w:rsidRDefault="00F35562" w:rsidP="00651324">
      <w:pPr>
        <w:widowControl w:val="0"/>
        <w:ind w:firstLine="720"/>
        <w:contextualSpacing w:val="0"/>
        <w:jc w:val="both"/>
        <w:rPr>
          <w:color w:val="595959"/>
          <w:highlight w:val="white"/>
        </w:rPr>
      </w:pPr>
      <w:r>
        <w:rPr>
          <w:color w:val="595959"/>
          <w:highlight w:val="white"/>
        </w:rPr>
        <w:t xml:space="preserve">Respecto de la clasificación de daños, la base de datos indica que 25% (681) se reportó con daño menor, 41% (1,112) con daño medio y 16% (440) con daño grave. Sobresale que 17% (461) de los datos indica “información en construcción” y que tampoco se describen los criterios para esta clasificación. </w:t>
      </w:r>
    </w:p>
    <w:p w14:paraId="398D8CFC" w14:textId="77777777" w:rsidR="008A34AE" w:rsidRDefault="00F35562" w:rsidP="00651324">
      <w:pPr>
        <w:widowControl w:val="0"/>
        <w:contextualSpacing w:val="0"/>
        <w:jc w:val="both"/>
        <w:rPr>
          <w:color w:val="595959"/>
          <w:highlight w:val="white"/>
        </w:rPr>
      </w:pPr>
      <w:bookmarkStart w:id="6" w:name="_tyjcwt" w:colFirst="0" w:colLast="0"/>
      <w:bookmarkEnd w:id="6"/>
      <w:r>
        <w:rPr>
          <w:color w:val="595959"/>
          <w:highlight w:val="white"/>
        </w:rPr>
        <w:tab/>
        <w:t xml:space="preserve">Por otro lado, 100% de los registros carecen de información </w:t>
      </w:r>
      <w:r w:rsidR="008F2BC9">
        <w:rPr>
          <w:color w:val="595959"/>
          <w:highlight w:val="white"/>
        </w:rPr>
        <w:t>sobre</w:t>
      </w:r>
      <w:r>
        <w:rPr>
          <w:color w:val="595959"/>
          <w:highlight w:val="white"/>
        </w:rPr>
        <w:t>: el estatus de operación de las obras, la fecha de verificación, el nombre de las o los supervisores</w:t>
      </w:r>
      <w:r w:rsidR="008F2BC9">
        <w:rPr>
          <w:color w:val="595959"/>
          <w:highlight w:val="white"/>
        </w:rPr>
        <w:t>,</w:t>
      </w:r>
      <w:r>
        <w:rPr>
          <w:color w:val="595959"/>
          <w:highlight w:val="white"/>
        </w:rPr>
        <w:t xml:space="preserve"> las empresas que las ejecutarán, las instancias responsables y el avance físico y financiero. En este sentido, las deficiencias en la información agudizan la opacidad a la luz de la cantidad de recursos destinado</w:t>
      </w:r>
      <w:r w:rsidR="008F2BC9">
        <w:rPr>
          <w:color w:val="595959"/>
          <w:highlight w:val="white"/>
        </w:rPr>
        <w:t>s</w:t>
      </w:r>
      <w:r>
        <w:rPr>
          <w:color w:val="595959"/>
          <w:highlight w:val="white"/>
        </w:rPr>
        <w:t xml:space="preserve"> para la reconstrucción en este sector.</w:t>
      </w:r>
    </w:p>
    <w:p w14:paraId="06665F17" w14:textId="77777777" w:rsidR="008A34AE" w:rsidRDefault="00F35562" w:rsidP="00F80677">
      <w:pPr>
        <w:pStyle w:val="Ttulo2"/>
        <w:rPr>
          <w:highlight w:val="white"/>
        </w:rPr>
      </w:pPr>
      <w:bookmarkStart w:id="7" w:name="_Toc524361285"/>
      <w:r>
        <w:rPr>
          <w:highlight w:val="white"/>
        </w:rPr>
        <w:lastRenderedPageBreak/>
        <w:t>Calidad de la información</w:t>
      </w:r>
      <w:bookmarkEnd w:id="7"/>
      <w:r>
        <w:rPr>
          <w:highlight w:val="white"/>
        </w:rPr>
        <w:t xml:space="preserve"> </w:t>
      </w:r>
    </w:p>
    <w:p w14:paraId="205AB57F" w14:textId="77777777" w:rsidR="008A34AE" w:rsidRDefault="00F35562" w:rsidP="00F35562">
      <w:pPr>
        <w:contextualSpacing w:val="0"/>
        <w:jc w:val="both"/>
        <w:rPr>
          <w:color w:val="595959"/>
          <w:highlight w:val="white"/>
        </w:rPr>
      </w:pPr>
      <w:r>
        <w:rPr>
          <w:color w:val="595959"/>
        </w:rPr>
        <w:t xml:space="preserve">Finalmente, si bien muchas de las interrogantes básicas de la ciudadanía en general, pero </w:t>
      </w:r>
      <w:r w:rsidR="008F2BC9">
        <w:rPr>
          <w:color w:val="595959"/>
        </w:rPr>
        <w:t xml:space="preserve">de </w:t>
      </w:r>
      <w:r>
        <w:rPr>
          <w:color w:val="595959"/>
        </w:rPr>
        <w:t xml:space="preserve">las y los damnificados en particular, no se pueden responder con la información publicada hasta ahora, las plataformas oficiales deberían ser el lugar en donde se deben dar a conocer los datos que permitan valorar el avance físico y financiero de las acciones después de un desastre, cualquiera que sea. Así, para el caso de los sismos de septiembre de 2017, el portal </w:t>
      </w:r>
      <w:r>
        <w:rPr>
          <w:color w:val="595959"/>
          <w:sz w:val="20"/>
          <w:szCs w:val="20"/>
        </w:rPr>
        <w:t>FM-TP</w:t>
      </w:r>
      <w:r>
        <w:rPr>
          <w:color w:val="595959"/>
        </w:rPr>
        <w:t xml:space="preserve"> debería cumplir esa función. En esta plataforma</w:t>
      </w:r>
      <w:r w:rsidR="008F2BC9">
        <w:rPr>
          <w:color w:val="595959"/>
        </w:rPr>
        <w:t>, las bases de datos elaboradas por las distintas dependencias gubernamentales involucradas en el proceso, de estar completas, serían</w:t>
      </w:r>
      <w:r>
        <w:rPr>
          <w:color w:val="595959"/>
        </w:rPr>
        <w:t xml:space="preserve"> </w:t>
      </w:r>
      <w:r>
        <w:rPr>
          <w:color w:val="595959"/>
          <w:highlight w:val="white"/>
        </w:rPr>
        <w:t>los elementos de mayor utilidad para conocer el avance procedimental, físico y financiero de las estrategias</w:t>
      </w:r>
      <w:r w:rsidR="008F2BC9">
        <w:rPr>
          <w:color w:val="595959"/>
          <w:highlight w:val="white"/>
        </w:rPr>
        <w:t xml:space="preserve"> de reconstrucción</w:t>
      </w:r>
      <w:r>
        <w:rPr>
          <w:color w:val="595959"/>
          <w:highlight w:val="white"/>
        </w:rPr>
        <w:t xml:space="preserve">. </w:t>
      </w:r>
    </w:p>
    <w:p w14:paraId="52F18F32" w14:textId="77777777" w:rsidR="00F35562" w:rsidRDefault="00F35562" w:rsidP="00F35562">
      <w:pPr>
        <w:contextualSpacing w:val="0"/>
        <w:jc w:val="both"/>
        <w:rPr>
          <w:color w:val="595959"/>
          <w:highlight w:val="white"/>
        </w:rPr>
        <w:sectPr w:rsidR="00F35562" w:rsidSect="00F35562">
          <w:footerReference w:type="default" r:id="rId9"/>
          <w:footerReference w:type="first" r:id="rId10"/>
          <w:pgSz w:w="11909" w:h="16834"/>
          <w:pgMar w:top="1440" w:right="1440" w:bottom="1440" w:left="1440" w:header="0" w:footer="720" w:gutter="0"/>
          <w:cols w:space="720"/>
          <w:docGrid w:linePitch="299"/>
        </w:sectPr>
      </w:pPr>
    </w:p>
    <w:p w14:paraId="180F44A3" w14:textId="77777777" w:rsidR="00F35562" w:rsidRDefault="00F35562" w:rsidP="00F35562">
      <w:pPr>
        <w:contextualSpacing w:val="0"/>
        <w:jc w:val="both"/>
        <w:rPr>
          <w:color w:val="595959"/>
          <w:highlight w:val="white"/>
        </w:rPr>
      </w:pPr>
    </w:p>
    <w:p w14:paraId="1CC8E208" w14:textId="77777777" w:rsidR="008A34AE" w:rsidRDefault="00F35562" w:rsidP="00F35562">
      <w:pPr>
        <w:contextualSpacing w:val="0"/>
        <w:jc w:val="center"/>
        <w:rPr>
          <w:b/>
          <w:color w:val="595959"/>
          <w:highlight w:val="white"/>
        </w:rPr>
      </w:pPr>
      <w:r>
        <w:rPr>
          <w:b/>
          <w:color w:val="595959"/>
          <w:highlight w:val="white"/>
        </w:rPr>
        <w:t xml:space="preserve">Tabla </w:t>
      </w:r>
      <w:r>
        <w:rPr>
          <w:b/>
          <w:color w:val="595959"/>
        </w:rPr>
        <w:t>6</w:t>
      </w:r>
      <w:r>
        <w:rPr>
          <w:b/>
          <w:color w:val="595959"/>
          <w:highlight w:val="white"/>
        </w:rPr>
        <w:t xml:space="preserve">. Bases de datos que se encuentran en el micrositio </w:t>
      </w:r>
      <w:r>
        <w:rPr>
          <w:b/>
          <w:color w:val="595959"/>
          <w:sz w:val="20"/>
          <w:szCs w:val="20"/>
          <w:highlight w:val="white"/>
        </w:rPr>
        <w:t>FM-TP</w:t>
      </w:r>
      <w:r>
        <w:rPr>
          <w:b/>
          <w:color w:val="595959"/>
          <w:highlight w:val="white"/>
        </w:rPr>
        <w:t xml:space="preserve"> y que se encuentran con un estatus de actualización “activo”</w:t>
      </w:r>
    </w:p>
    <w:tbl>
      <w:tblPr>
        <w:tblStyle w:val="a4"/>
        <w:tblW w:w="1389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1985"/>
        <w:gridCol w:w="1701"/>
        <w:gridCol w:w="1276"/>
        <w:gridCol w:w="6662"/>
      </w:tblGrid>
      <w:tr w:rsidR="008A34AE" w14:paraId="48A23906" w14:textId="77777777" w:rsidTr="00F35562">
        <w:trPr>
          <w:tblHeader/>
        </w:trPr>
        <w:tc>
          <w:tcPr>
            <w:tcW w:w="2268" w:type="dxa"/>
            <w:shd w:val="clear" w:color="auto" w:fill="205968"/>
            <w:tcMar>
              <w:top w:w="100" w:type="dxa"/>
              <w:left w:w="100" w:type="dxa"/>
              <w:bottom w:w="100" w:type="dxa"/>
              <w:right w:w="100" w:type="dxa"/>
            </w:tcMar>
          </w:tcPr>
          <w:p w14:paraId="619404F3" w14:textId="77777777" w:rsidR="008A34AE" w:rsidRDefault="00F35562">
            <w:pPr>
              <w:widowControl w:val="0"/>
              <w:pBdr>
                <w:top w:val="nil"/>
                <w:left w:val="nil"/>
                <w:bottom w:val="nil"/>
                <w:right w:val="nil"/>
                <w:between w:val="nil"/>
              </w:pBdr>
              <w:spacing w:line="240" w:lineRule="auto"/>
              <w:contextualSpacing w:val="0"/>
              <w:jc w:val="center"/>
              <w:rPr>
                <w:b/>
                <w:color w:val="FFFFFF"/>
                <w:sz w:val="20"/>
                <w:szCs w:val="20"/>
              </w:rPr>
            </w:pPr>
            <w:r>
              <w:rPr>
                <w:b/>
                <w:color w:val="FFFFFF"/>
                <w:sz w:val="20"/>
                <w:szCs w:val="20"/>
              </w:rPr>
              <w:t>Base de datos</w:t>
            </w:r>
          </w:p>
        </w:tc>
        <w:tc>
          <w:tcPr>
            <w:tcW w:w="1985" w:type="dxa"/>
            <w:shd w:val="clear" w:color="auto" w:fill="205968"/>
            <w:tcMar>
              <w:top w:w="100" w:type="dxa"/>
              <w:left w:w="100" w:type="dxa"/>
              <w:bottom w:w="100" w:type="dxa"/>
              <w:right w:w="100" w:type="dxa"/>
            </w:tcMar>
          </w:tcPr>
          <w:p w14:paraId="068ED963" w14:textId="77777777" w:rsidR="008A34AE" w:rsidRDefault="00F35562">
            <w:pPr>
              <w:widowControl w:val="0"/>
              <w:pBdr>
                <w:top w:val="nil"/>
                <w:left w:val="nil"/>
                <w:bottom w:val="nil"/>
                <w:right w:val="nil"/>
                <w:between w:val="nil"/>
              </w:pBdr>
              <w:spacing w:line="240" w:lineRule="auto"/>
              <w:contextualSpacing w:val="0"/>
              <w:jc w:val="center"/>
              <w:rPr>
                <w:b/>
                <w:color w:val="FFFFFF"/>
                <w:sz w:val="20"/>
                <w:szCs w:val="20"/>
              </w:rPr>
            </w:pPr>
            <w:r>
              <w:rPr>
                <w:b/>
                <w:color w:val="FFFFFF"/>
                <w:sz w:val="20"/>
                <w:szCs w:val="20"/>
              </w:rPr>
              <w:t>Dependencia encargada</w:t>
            </w:r>
          </w:p>
        </w:tc>
        <w:tc>
          <w:tcPr>
            <w:tcW w:w="1701" w:type="dxa"/>
            <w:shd w:val="clear" w:color="auto" w:fill="205968"/>
            <w:tcMar>
              <w:top w:w="100" w:type="dxa"/>
              <w:left w:w="100" w:type="dxa"/>
              <w:bottom w:w="100" w:type="dxa"/>
              <w:right w:w="100" w:type="dxa"/>
            </w:tcMar>
          </w:tcPr>
          <w:p w14:paraId="31366F27" w14:textId="77777777" w:rsidR="008A34AE" w:rsidRDefault="00F35562">
            <w:pPr>
              <w:widowControl w:val="0"/>
              <w:pBdr>
                <w:top w:val="nil"/>
                <w:left w:val="nil"/>
                <w:bottom w:val="nil"/>
                <w:right w:val="nil"/>
                <w:between w:val="nil"/>
              </w:pBdr>
              <w:spacing w:line="240" w:lineRule="auto"/>
              <w:contextualSpacing w:val="0"/>
              <w:jc w:val="center"/>
              <w:rPr>
                <w:b/>
                <w:color w:val="FFFFFF"/>
                <w:sz w:val="20"/>
                <w:szCs w:val="20"/>
              </w:rPr>
            </w:pPr>
            <w:r>
              <w:rPr>
                <w:b/>
                <w:color w:val="FFFFFF"/>
                <w:sz w:val="20"/>
                <w:szCs w:val="20"/>
              </w:rPr>
              <w:t xml:space="preserve">Última fecha de actualización </w:t>
            </w:r>
          </w:p>
        </w:tc>
        <w:tc>
          <w:tcPr>
            <w:tcW w:w="1276" w:type="dxa"/>
            <w:shd w:val="clear" w:color="auto" w:fill="205968"/>
            <w:tcMar>
              <w:top w:w="100" w:type="dxa"/>
              <w:left w:w="100" w:type="dxa"/>
              <w:bottom w:w="100" w:type="dxa"/>
              <w:right w:w="100" w:type="dxa"/>
            </w:tcMar>
          </w:tcPr>
          <w:p w14:paraId="1052E9E3" w14:textId="77777777" w:rsidR="008A34AE" w:rsidRDefault="00F35562">
            <w:pPr>
              <w:widowControl w:val="0"/>
              <w:pBdr>
                <w:top w:val="nil"/>
                <w:left w:val="nil"/>
                <w:bottom w:val="nil"/>
                <w:right w:val="nil"/>
                <w:between w:val="nil"/>
              </w:pBdr>
              <w:spacing w:line="240" w:lineRule="auto"/>
              <w:contextualSpacing w:val="0"/>
              <w:jc w:val="center"/>
              <w:rPr>
                <w:b/>
                <w:color w:val="FFFFFF"/>
                <w:sz w:val="20"/>
                <w:szCs w:val="20"/>
              </w:rPr>
            </w:pPr>
            <w:r>
              <w:rPr>
                <w:b/>
                <w:color w:val="FFFFFF"/>
                <w:sz w:val="20"/>
                <w:szCs w:val="20"/>
              </w:rPr>
              <w:t xml:space="preserve">Valoración general </w:t>
            </w:r>
          </w:p>
        </w:tc>
        <w:tc>
          <w:tcPr>
            <w:tcW w:w="6662" w:type="dxa"/>
            <w:shd w:val="clear" w:color="auto" w:fill="205968"/>
            <w:tcMar>
              <w:top w:w="100" w:type="dxa"/>
              <w:left w:w="100" w:type="dxa"/>
              <w:bottom w:w="100" w:type="dxa"/>
              <w:right w:w="100" w:type="dxa"/>
            </w:tcMar>
          </w:tcPr>
          <w:p w14:paraId="57E35E37" w14:textId="77777777" w:rsidR="008A34AE" w:rsidRDefault="00F35562">
            <w:pPr>
              <w:widowControl w:val="0"/>
              <w:pBdr>
                <w:top w:val="nil"/>
                <w:left w:val="nil"/>
                <w:bottom w:val="nil"/>
                <w:right w:val="nil"/>
                <w:between w:val="nil"/>
              </w:pBdr>
              <w:spacing w:line="240" w:lineRule="auto"/>
              <w:contextualSpacing w:val="0"/>
              <w:jc w:val="center"/>
              <w:rPr>
                <w:b/>
                <w:color w:val="FFFFFF"/>
                <w:sz w:val="20"/>
                <w:szCs w:val="20"/>
              </w:rPr>
            </w:pPr>
            <w:r>
              <w:rPr>
                <w:b/>
                <w:color w:val="FFFFFF"/>
                <w:sz w:val="20"/>
                <w:szCs w:val="20"/>
              </w:rPr>
              <w:t xml:space="preserve">Observaciones  </w:t>
            </w:r>
          </w:p>
        </w:tc>
      </w:tr>
      <w:tr w:rsidR="008A34AE" w14:paraId="15AE3C99" w14:textId="77777777">
        <w:tc>
          <w:tcPr>
            <w:tcW w:w="2268" w:type="dxa"/>
            <w:shd w:val="clear" w:color="auto" w:fill="31849B"/>
            <w:tcMar>
              <w:top w:w="100" w:type="dxa"/>
              <w:left w:w="100" w:type="dxa"/>
              <w:bottom w:w="100" w:type="dxa"/>
              <w:right w:w="100" w:type="dxa"/>
            </w:tcMar>
            <w:vAlign w:val="center"/>
          </w:tcPr>
          <w:p w14:paraId="12727B3E" w14:textId="77777777" w:rsidR="008A34AE" w:rsidRDefault="00F35562">
            <w:pPr>
              <w:widowControl w:val="0"/>
              <w:pBdr>
                <w:top w:val="nil"/>
                <w:left w:val="nil"/>
                <w:bottom w:val="nil"/>
                <w:right w:val="nil"/>
                <w:between w:val="nil"/>
              </w:pBdr>
              <w:spacing w:line="240" w:lineRule="auto"/>
              <w:contextualSpacing w:val="0"/>
              <w:rPr>
                <w:b/>
                <w:color w:val="FFFFFF"/>
                <w:sz w:val="18"/>
                <w:szCs w:val="18"/>
              </w:rPr>
            </w:pPr>
            <w:r>
              <w:rPr>
                <w:b/>
                <w:color w:val="FFFFFF"/>
                <w:sz w:val="18"/>
                <w:szCs w:val="18"/>
              </w:rPr>
              <w:t>FONDEN (emergencias)</w:t>
            </w:r>
          </w:p>
        </w:tc>
        <w:tc>
          <w:tcPr>
            <w:tcW w:w="1985" w:type="dxa"/>
            <w:shd w:val="clear" w:color="auto" w:fill="93CDDC"/>
            <w:tcMar>
              <w:top w:w="100" w:type="dxa"/>
              <w:left w:w="100" w:type="dxa"/>
              <w:bottom w:w="100" w:type="dxa"/>
              <w:right w:w="100" w:type="dxa"/>
            </w:tcMar>
            <w:vAlign w:val="center"/>
          </w:tcPr>
          <w:p w14:paraId="4CEEA7C1" w14:textId="77777777" w:rsidR="008A34AE" w:rsidRDefault="00F35562">
            <w:pPr>
              <w:widowControl w:val="0"/>
              <w:pBdr>
                <w:top w:val="nil"/>
                <w:left w:val="nil"/>
                <w:bottom w:val="nil"/>
                <w:right w:val="nil"/>
                <w:between w:val="nil"/>
              </w:pBdr>
              <w:spacing w:line="240" w:lineRule="auto"/>
              <w:contextualSpacing w:val="0"/>
              <w:rPr>
                <w:color w:val="205968"/>
                <w:sz w:val="18"/>
                <w:szCs w:val="18"/>
              </w:rPr>
            </w:pPr>
            <w:r>
              <w:rPr>
                <w:color w:val="205968"/>
                <w:sz w:val="18"/>
                <w:szCs w:val="18"/>
              </w:rPr>
              <w:t>Secretaría de Hacienda y Crédito Público</w:t>
            </w:r>
          </w:p>
        </w:tc>
        <w:tc>
          <w:tcPr>
            <w:tcW w:w="1701" w:type="dxa"/>
            <w:shd w:val="clear" w:color="auto" w:fill="93CDDC"/>
            <w:tcMar>
              <w:top w:w="100" w:type="dxa"/>
              <w:left w:w="100" w:type="dxa"/>
              <w:bottom w:w="100" w:type="dxa"/>
              <w:right w:w="100" w:type="dxa"/>
            </w:tcMar>
            <w:vAlign w:val="center"/>
          </w:tcPr>
          <w:p w14:paraId="7AA673B9" w14:textId="77777777" w:rsidR="008A34AE" w:rsidRDefault="00F35562">
            <w:pPr>
              <w:widowControl w:val="0"/>
              <w:pBdr>
                <w:top w:val="nil"/>
                <w:left w:val="nil"/>
                <w:bottom w:val="nil"/>
                <w:right w:val="nil"/>
                <w:between w:val="nil"/>
              </w:pBdr>
              <w:spacing w:line="240" w:lineRule="auto"/>
              <w:contextualSpacing w:val="0"/>
              <w:jc w:val="center"/>
              <w:rPr>
                <w:color w:val="205968"/>
                <w:sz w:val="18"/>
                <w:szCs w:val="18"/>
              </w:rPr>
            </w:pPr>
            <w:r>
              <w:rPr>
                <w:color w:val="205968"/>
                <w:sz w:val="18"/>
                <w:szCs w:val="18"/>
              </w:rPr>
              <w:t>22/10/2017</w:t>
            </w:r>
          </w:p>
        </w:tc>
        <w:tc>
          <w:tcPr>
            <w:tcW w:w="1276" w:type="dxa"/>
            <w:shd w:val="clear" w:color="auto" w:fill="93CDDC"/>
            <w:tcMar>
              <w:top w:w="100" w:type="dxa"/>
              <w:left w:w="100" w:type="dxa"/>
              <w:bottom w:w="100" w:type="dxa"/>
              <w:right w:w="100" w:type="dxa"/>
            </w:tcMar>
            <w:vAlign w:val="center"/>
          </w:tcPr>
          <w:p w14:paraId="5EB26D87" w14:textId="77777777" w:rsidR="008A34AE" w:rsidRDefault="00F35562">
            <w:pPr>
              <w:widowControl w:val="0"/>
              <w:pBdr>
                <w:top w:val="nil"/>
                <w:left w:val="nil"/>
                <w:bottom w:val="nil"/>
                <w:right w:val="nil"/>
                <w:between w:val="nil"/>
              </w:pBdr>
              <w:spacing w:line="240" w:lineRule="auto"/>
              <w:contextualSpacing w:val="0"/>
              <w:jc w:val="center"/>
              <w:rPr>
                <w:color w:val="205968"/>
                <w:sz w:val="18"/>
                <w:szCs w:val="18"/>
              </w:rPr>
            </w:pPr>
            <w:r>
              <w:rPr>
                <w:color w:val="205968"/>
                <w:sz w:val="18"/>
                <w:szCs w:val="18"/>
              </w:rPr>
              <w:t>Incompleta</w:t>
            </w:r>
          </w:p>
        </w:tc>
        <w:tc>
          <w:tcPr>
            <w:tcW w:w="6662" w:type="dxa"/>
            <w:shd w:val="clear" w:color="auto" w:fill="B7DDE8"/>
            <w:tcMar>
              <w:top w:w="100" w:type="dxa"/>
              <w:left w:w="100" w:type="dxa"/>
              <w:bottom w:w="100" w:type="dxa"/>
              <w:right w:w="100" w:type="dxa"/>
            </w:tcMar>
            <w:vAlign w:val="center"/>
          </w:tcPr>
          <w:p w14:paraId="7E20AE7A" w14:textId="77777777" w:rsidR="008A34AE" w:rsidRDefault="00F35562">
            <w:pPr>
              <w:widowControl w:val="0"/>
              <w:pBdr>
                <w:top w:val="nil"/>
                <w:left w:val="nil"/>
                <w:bottom w:val="nil"/>
                <w:right w:val="nil"/>
                <w:between w:val="nil"/>
              </w:pBdr>
              <w:spacing w:line="240" w:lineRule="auto"/>
              <w:contextualSpacing w:val="0"/>
              <w:rPr>
                <w:color w:val="205968"/>
                <w:sz w:val="18"/>
                <w:szCs w:val="18"/>
              </w:rPr>
            </w:pPr>
            <w:r>
              <w:rPr>
                <w:color w:val="205968"/>
                <w:sz w:val="18"/>
                <w:szCs w:val="18"/>
              </w:rPr>
              <w:t xml:space="preserve">Es la misma información que se presenta en el resumen general del micrositio. </w:t>
            </w:r>
          </w:p>
          <w:p w14:paraId="46D287BD" w14:textId="77777777" w:rsidR="008A34AE" w:rsidRDefault="00F35562">
            <w:pPr>
              <w:widowControl w:val="0"/>
              <w:pBdr>
                <w:top w:val="nil"/>
                <w:left w:val="nil"/>
                <w:bottom w:val="nil"/>
                <w:right w:val="nil"/>
                <w:between w:val="nil"/>
              </w:pBdr>
              <w:spacing w:line="240" w:lineRule="auto"/>
              <w:contextualSpacing w:val="0"/>
              <w:rPr>
                <w:color w:val="205968"/>
                <w:sz w:val="18"/>
                <w:szCs w:val="18"/>
              </w:rPr>
            </w:pPr>
            <w:r>
              <w:rPr>
                <w:color w:val="205968"/>
                <w:sz w:val="18"/>
                <w:szCs w:val="18"/>
              </w:rPr>
              <w:t xml:space="preserve">La desagregación de la información es a nivel de entidad federativa, pero no se puede identificar información a nivel de municipio o localidad. </w:t>
            </w:r>
            <w:r w:rsidR="00340F48">
              <w:rPr>
                <w:color w:val="205968"/>
                <w:sz w:val="18"/>
                <w:szCs w:val="18"/>
              </w:rPr>
              <w:t>En l</w:t>
            </w:r>
            <w:r>
              <w:rPr>
                <w:color w:val="205968"/>
                <w:sz w:val="18"/>
                <w:szCs w:val="18"/>
              </w:rPr>
              <w:t>os datos de entrega de medicamentos</w:t>
            </w:r>
            <w:r w:rsidR="00340F48">
              <w:rPr>
                <w:color w:val="205968"/>
                <w:sz w:val="18"/>
                <w:szCs w:val="18"/>
              </w:rPr>
              <w:t xml:space="preserve"> se</w:t>
            </w:r>
            <w:r>
              <w:rPr>
                <w:color w:val="205968"/>
                <w:sz w:val="18"/>
                <w:szCs w:val="18"/>
              </w:rPr>
              <w:t xml:space="preserve"> indica “no aplica”. No contiene información financiera sobre la cantidad de recursos invertidos. </w:t>
            </w:r>
          </w:p>
        </w:tc>
      </w:tr>
      <w:tr w:rsidR="008A34AE" w14:paraId="5DF45E1E" w14:textId="77777777">
        <w:tc>
          <w:tcPr>
            <w:tcW w:w="2268" w:type="dxa"/>
            <w:shd w:val="clear" w:color="auto" w:fill="31849B"/>
            <w:tcMar>
              <w:top w:w="100" w:type="dxa"/>
              <w:left w:w="100" w:type="dxa"/>
              <w:bottom w:w="100" w:type="dxa"/>
              <w:right w:w="100" w:type="dxa"/>
            </w:tcMar>
            <w:vAlign w:val="center"/>
          </w:tcPr>
          <w:p w14:paraId="58577260" w14:textId="77777777" w:rsidR="008A34AE" w:rsidRDefault="00F35562">
            <w:pPr>
              <w:widowControl w:val="0"/>
              <w:spacing w:line="240" w:lineRule="auto"/>
              <w:contextualSpacing w:val="0"/>
              <w:rPr>
                <w:b/>
                <w:color w:val="FFFFFF"/>
                <w:sz w:val="18"/>
                <w:szCs w:val="18"/>
              </w:rPr>
            </w:pPr>
            <w:r>
              <w:rPr>
                <w:b/>
                <w:color w:val="FFFFFF"/>
                <w:sz w:val="18"/>
                <w:szCs w:val="18"/>
              </w:rPr>
              <w:t xml:space="preserve">FONDEN </w:t>
            </w:r>
            <w:r w:rsidR="008F2BC9">
              <w:rPr>
                <w:b/>
                <w:color w:val="FFFFFF"/>
                <w:sz w:val="18"/>
                <w:szCs w:val="18"/>
              </w:rPr>
              <w:t>(a</w:t>
            </w:r>
            <w:r>
              <w:rPr>
                <w:b/>
                <w:color w:val="FFFFFF"/>
                <w:sz w:val="18"/>
                <w:szCs w:val="18"/>
              </w:rPr>
              <w:t>poyos parciales inmediatos</w:t>
            </w:r>
            <w:r w:rsidR="008F2BC9">
              <w:rPr>
                <w:b/>
                <w:color w:val="FFFFFF"/>
                <w:sz w:val="18"/>
                <w:szCs w:val="18"/>
              </w:rPr>
              <w:t>)</w:t>
            </w:r>
          </w:p>
        </w:tc>
        <w:tc>
          <w:tcPr>
            <w:tcW w:w="1985" w:type="dxa"/>
            <w:shd w:val="clear" w:color="auto" w:fill="93CDDC"/>
            <w:tcMar>
              <w:top w:w="100" w:type="dxa"/>
              <w:left w:w="100" w:type="dxa"/>
              <w:bottom w:w="100" w:type="dxa"/>
              <w:right w:w="100" w:type="dxa"/>
            </w:tcMar>
            <w:vAlign w:val="center"/>
          </w:tcPr>
          <w:p w14:paraId="2DCBC0F1" w14:textId="77777777" w:rsidR="008A34AE" w:rsidRDefault="00F35562">
            <w:pPr>
              <w:widowControl w:val="0"/>
              <w:spacing w:line="240" w:lineRule="auto"/>
              <w:contextualSpacing w:val="0"/>
              <w:rPr>
                <w:color w:val="205968"/>
                <w:sz w:val="18"/>
                <w:szCs w:val="18"/>
              </w:rPr>
            </w:pPr>
            <w:r>
              <w:rPr>
                <w:color w:val="205968"/>
                <w:sz w:val="18"/>
                <w:szCs w:val="18"/>
              </w:rPr>
              <w:t>Secretaría de Hacienda y Crédito Público</w:t>
            </w:r>
          </w:p>
        </w:tc>
        <w:tc>
          <w:tcPr>
            <w:tcW w:w="1701" w:type="dxa"/>
            <w:shd w:val="clear" w:color="auto" w:fill="93CDDC"/>
            <w:tcMar>
              <w:top w:w="100" w:type="dxa"/>
              <w:left w:w="100" w:type="dxa"/>
              <w:bottom w:w="100" w:type="dxa"/>
              <w:right w:w="100" w:type="dxa"/>
            </w:tcMar>
            <w:vAlign w:val="center"/>
          </w:tcPr>
          <w:p w14:paraId="7CB59EE3" w14:textId="77777777" w:rsidR="008A34AE" w:rsidRDefault="00F35562">
            <w:pPr>
              <w:widowControl w:val="0"/>
              <w:spacing w:line="240" w:lineRule="auto"/>
              <w:contextualSpacing w:val="0"/>
              <w:jc w:val="center"/>
              <w:rPr>
                <w:color w:val="205968"/>
                <w:sz w:val="18"/>
                <w:szCs w:val="18"/>
              </w:rPr>
            </w:pPr>
            <w:r>
              <w:rPr>
                <w:color w:val="205968"/>
                <w:sz w:val="18"/>
                <w:szCs w:val="18"/>
              </w:rPr>
              <w:t>26/03/2018</w:t>
            </w:r>
          </w:p>
        </w:tc>
        <w:tc>
          <w:tcPr>
            <w:tcW w:w="1276" w:type="dxa"/>
            <w:shd w:val="clear" w:color="auto" w:fill="93CDDC"/>
            <w:tcMar>
              <w:top w:w="100" w:type="dxa"/>
              <w:left w:w="100" w:type="dxa"/>
              <w:bottom w:w="100" w:type="dxa"/>
              <w:right w:w="100" w:type="dxa"/>
            </w:tcMar>
            <w:vAlign w:val="center"/>
          </w:tcPr>
          <w:p w14:paraId="5E9D534A" w14:textId="77777777" w:rsidR="008A34AE" w:rsidRDefault="00F35562">
            <w:pPr>
              <w:widowControl w:val="0"/>
              <w:pBdr>
                <w:top w:val="nil"/>
                <w:left w:val="nil"/>
                <w:bottom w:val="nil"/>
                <w:right w:val="nil"/>
                <w:between w:val="nil"/>
              </w:pBdr>
              <w:spacing w:line="240" w:lineRule="auto"/>
              <w:contextualSpacing w:val="0"/>
              <w:jc w:val="center"/>
              <w:rPr>
                <w:color w:val="205968"/>
                <w:sz w:val="18"/>
                <w:szCs w:val="18"/>
              </w:rPr>
            </w:pPr>
            <w:r>
              <w:rPr>
                <w:color w:val="205968"/>
                <w:sz w:val="18"/>
                <w:szCs w:val="18"/>
              </w:rPr>
              <w:t>Incompleta</w:t>
            </w:r>
          </w:p>
        </w:tc>
        <w:tc>
          <w:tcPr>
            <w:tcW w:w="6662" w:type="dxa"/>
            <w:shd w:val="clear" w:color="auto" w:fill="B7DDE8"/>
            <w:tcMar>
              <w:top w:w="100" w:type="dxa"/>
              <w:left w:w="100" w:type="dxa"/>
              <w:bottom w:w="100" w:type="dxa"/>
              <w:right w:w="100" w:type="dxa"/>
            </w:tcMar>
            <w:vAlign w:val="center"/>
          </w:tcPr>
          <w:p w14:paraId="54911C37" w14:textId="77777777" w:rsidR="008A34AE" w:rsidRDefault="00F35562">
            <w:pPr>
              <w:widowControl w:val="0"/>
              <w:pBdr>
                <w:top w:val="nil"/>
                <w:left w:val="nil"/>
                <w:bottom w:val="nil"/>
                <w:right w:val="nil"/>
                <w:between w:val="nil"/>
              </w:pBdr>
              <w:spacing w:line="240" w:lineRule="auto"/>
              <w:contextualSpacing w:val="0"/>
              <w:rPr>
                <w:color w:val="205968"/>
                <w:sz w:val="18"/>
                <w:szCs w:val="18"/>
              </w:rPr>
            </w:pPr>
            <w:r>
              <w:rPr>
                <w:color w:val="205968"/>
                <w:sz w:val="18"/>
                <w:szCs w:val="18"/>
              </w:rPr>
              <w:t xml:space="preserve">Es la misma información que se presenta en el resumen general del micrositio. El nivel de agregación de los datos está a nivel de entidad federativa y por sector. No es posible identificar los conceptos de gasto por sector y la información no se identifica por municipio o localidad. </w:t>
            </w:r>
          </w:p>
        </w:tc>
      </w:tr>
      <w:tr w:rsidR="008A34AE" w14:paraId="63C6BA66" w14:textId="77777777">
        <w:tc>
          <w:tcPr>
            <w:tcW w:w="2268" w:type="dxa"/>
            <w:shd w:val="clear" w:color="auto" w:fill="31849B"/>
            <w:tcMar>
              <w:top w:w="100" w:type="dxa"/>
              <w:left w:w="100" w:type="dxa"/>
              <w:bottom w:w="100" w:type="dxa"/>
              <w:right w:w="100" w:type="dxa"/>
            </w:tcMar>
            <w:vAlign w:val="center"/>
          </w:tcPr>
          <w:p w14:paraId="02CB9392" w14:textId="77777777" w:rsidR="008A34AE" w:rsidRDefault="00F35562">
            <w:pPr>
              <w:widowControl w:val="0"/>
              <w:spacing w:line="240" w:lineRule="auto"/>
              <w:contextualSpacing w:val="0"/>
              <w:rPr>
                <w:b/>
                <w:color w:val="FFFFFF"/>
                <w:sz w:val="18"/>
                <w:szCs w:val="18"/>
              </w:rPr>
            </w:pPr>
            <w:r>
              <w:rPr>
                <w:b/>
                <w:color w:val="FFFFFF"/>
                <w:sz w:val="18"/>
                <w:szCs w:val="18"/>
              </w:rPr>
              <w:t xml:space="preserve">FONDEN </w:t>
            </w:r>
            <w:r w:rsidR="008F2BC9">
              <w:rPr>
                <w:b/>
                <w:color w:val="FFFFFF"/>
                <w:sz w:val="18"/>
                <w:szCs w:val="18"/>
              </w:rPr>
              <w:t>(g</w:t>
            </w:r>
            <w:r>
              <w:rPr>
                <w:b/>
                <w:color w:val="FFFFFF"/>
                <w:sz w:val="18"/>
                <w:szCs w:val="18"/>
              </w:rPr>
              <w:t>asto de evaluación de daños y aportaciones estatales</w:t>
            </w:r>
            <w:r w:rsidR="008F2BC9">
              <w:rPr>
                <w:b/>
                <w:color w:val="FFFFFF"/>
                <w:sz w:val="18"/>
                <w:szCs w:val="18"/>
              </w:rPr>
              <w:t>)</w:t>
            </w:r>
          </w:p>
        </w:tc>
        <w:tc>
          <w:tcPr>
            <w:tcW w:w="1985" w:type="dxa"/>
            <w:shd w:val="clear" w:color="auto" w:fill="93CDDC"/>
            <w:tcMar>
              <w:top w:w="100" w:type="dxa"/>
              <w:left w:w="100" w:type="dxa"/>
              <w:bottom w:w="100" w:type="dxa"/>
              <w:right w:w="100" w:type="dxa"/>
            </w:tcMar>
            <w:vAlign w:val="center"/>
          </w:tcPr>
          <w:p w14:paraId="56E90661" w14:textId="77777777" w:rsidR="008A34AE" w:rsidRDefault="00F35562">
            <w:pPr>
              <w:widowControl w:val="0"/>
              <w:spacing w:line="240" w:lineRule="auto"/>
              <w:contextualSpacing w:val="0"/>
              <w:rPr>
                <w:color w:val="205968"/>
                <w:sz w:val="18"/>
                <w:szCs w:val="18"/>
              </w:rPr>
            </w:pPr>
            <w:r>
              <w:rPr>
                <w:color w:val="205968"/>
                <w:sz w:val="18"/>
                <w:szCs w:val="18"/>
              </w:rPr>
              <w:t>Secretaría de Hacienda y Crédito Público</w:t>
            </w:r>
          </w:p>
        </w:tc>
        <w:tc>
          <w:tcPr>
            <w:tcW w:w="1701" w:type="dxa"/>
            <w:shd w:val="clear" w:color="auto" w:fill="93CDDC"/>
            <w:tcMar>
              <w:top w:w="100" w:type="dxa"/>
              <w:left w:w="100" w:type="dxa"/>
              <w:bottom w:w="100" w:type="dxa"/>
              <w:right w:w="100" w:type="dxa"/>
            </w:tcMar>
            <w:vAlign w:val="center"/>
          </w:tcPr>
          <w:p w14:paraId="44A695E0" w14:textId="77777777" w:rsidR="008A34AE" w:rsidRDefault="00F35562">
            <w:pPr>
              <w:widowControl w:val="0"/>
              <w:spacing w:line="240" w:lineRule="auto"/>
              <w:contextualSpacing w:val="0"/>
              <w:jc w:val="center"/>
              <w:rPr>
                <w:color w:val="205968"/>
                <w:sz w:val="18"/>
                <w:szCs w:val="18"/>
              </w:rPr>
            </w:pPr>
            <w:r>
              <w:rPr>
                <w:color w:val="205968"/>
                <w:sz w:val="18"/>
                <w:szCs w:val="18"/>
              </w:rPr>
              <w:t>26/03/2018</w:t>
            </w:r>
          </w:p>
        </w:tc>
        <w:tc>
          <w:tcPr>
            <w:tcW w:w="1276" w:type="dxa"/>
            <w:shd w:val="clear" w:color="auto" w:fill="93CDDC"/>
            <w:tcMar>
              <w:top w:w="100" w:type="dxa"/>
              <w:left w:w="100" w:type="dxa"/>
              <w:bottom w:w="100" w:type="dxa"/>
              <w:right w:w="100" w:type="dxa"/>
            </w:tcMar>
            <w:vAlign w:val="center"/>
          </w:tcPr>
          <w:p w14:paraId="45D08CAA" w14:textId="77777777" w:rsidR="008A34AE" w:rsidRDefault="00F35562">
            <w:pPr>
              <w:widowControl w:val="0"/>
              <w:pBdr>
                <w:top w:val="nil"/>
                <w:left w:val="nil"/>
                <w:bottom w:val="nil"/>
                <w:right w:val="nil"/>
                <w:between w:val="nil"/>
              </w:pBdr>
              <w:spacing w:line="240" w:lineRule="auto"/>
              <w:contextualSpacing w:val="0"/>
              <w:jc w:val="center"/>
              <w:rPr>
                <w:color w:val="205968"/>
                <w:sz w:val="18"/>
                <w:szCs w:val="18"/>
              </w:rPr>
            </w:pPr>
            <w:r>
              <w:rPr>
                <w:color w:val="205968"/>
                <w:sz w:val="18"/>
                <w:szCs w:val="18"/>
              </w:rPr>
              <w:t>Incompleta</w:t>
            </w:r>
          </w:p>
        </w:tc>
        <w:tc>
          <w:tcPr>
            <w:tcW w:w="6662" w:type="dxa"/>
            <w:shd w:val="clear" w:color="auto" w:fill="B7DDE8"/>
            <w:tcMar>
              <w:top w:w="100" w:type="dxa"/>
              <w:left w:w="100" w:type="dxa"/>
              <w:bottom w:w="100" w:type="dxa"/>
              <w:right w:w="100" w:type="dxa"/>
            </w:tcMar>
            <w:vAlign w:val="center"/>
          </w:tcPr>
          <w:p w14:paraId="6CB12AE0" w14:textId="77777777" w:rsidR="008A34AE" w:rsidRDefault="00F35562">
            <w:pPr>
              <w:widowControl w:val="0"/>
              <w:spacing w:line="240" w:lineRule="auto"/>
              <w:contextualSpacing w:val="0"/>
              <w:rPr>
                <w:color w:val="205968"/>
                <w:sz w:val="18"/>
                <w:szCs w:val="18"/>
              </w:rPr>
            </w:pPr>
            <w:r>
              <w:rPr>
                <w:color w:val="205968"/>
                <w:sz w:val="18"/>
                <w:szCs w:val="18"/>
              </w:rPr>
              <w:t>El nivel de agregación de los datos está a nivel de entidad federativa y por sector. No es posible identificar los conceptos de gasto de evaluación de daños y la información no se identifica por municipio o localidad.</w:t>
            </w:r>
          </w:p>
        </w:tc>
      </w:tr>
      <w:tr w:rsidR="008A34AE" w14:paraId="7D7A6A99" w14:textId="77777777">
        <w:tc>
          <w:tcPr>
            <w:tcW w:w="2268" w:type="dxa"/>
            <w:shd w:val="clear" w:color="auto" w:fill="31849B"/>
            <w:tcMar>
              <w:top w:w="100" w:type="dxa"/>
              <w:left w:w="100" w:type="dxa"/>
              <w:bottom w:w="100" w:type="dxa"/>
              <w:right w:w="100" w:type="dxa"/>
            </w:tcMar>
            <w:vAlign w:val="center"/>
          </w:tcPr>
          <w:p w14:paraId="59E9D1F7" w14:textId="77777777" w:rsidR="008A34AE" w:rsidRDefault="00F35562">
            <w:pPr>
              <w:widowControl w:val="0"/>
              <w:spacing w:line="240" w:lineRule="auto"/>
              <w:contextualSpacing w:val="0"/>
              <w:rPr>
                <w:b/>
                <w:color w:val="FFFFFF"/>
                <w:sz w:val="18"/>
                <w:szCs w:val="18"/>
              </w:rPr>
            </w:pPr>
            <w:r>
              <w:rPr>
                <w:b/>
                <w:color w:val="FFFFFF"/>
                <w:sz w:val="18"/>
                <w:szCs w:val="18"/>
              </w:rPr>
              <w:t xml:space="preserve">FONDEN </w:t>
            </w:r>
            <w:r w:rsidR="008F2BC9">
              <w:rPr>
                <w:b/>
                <w:color w:val="FFFFFF"/>
                <w:sz w:val="18"/>
                <w:szCs w:val="18"/>
              </w:rPr>
              <w:t>(r</w:t>
            </w:r>
            <w:r>
              <w:rPr>
                <w:b/>
                <w:color w:val="FFFFFF"/>
                <w:sz w:val="18"/>
                <w:szCs w:val="18"/>
              </w:rPr>
              <w:t>ecursos para la reconstrucción</w:t>
            </w:r>
            <w:r w:rsidR="008F2BC9">
              <w:rPr>
                <w:b/>
                <w:color w:val="FFFFFF"/>
                <w:sz w:val="18"/>
                <w:szCs w:val="18"/>
              </w:rPr>
              <w:t>)</w:t>
            </w:r>
          </w:p>
        </w:tc>
        <w:tc>
          <w:tcPr>
            <w:tcW w:w="1985" w:type="dxa"/>
            <w:shd w:val="clear" w:color="auto" w:fill="93CDDC"/>
            <w:tcMar>
              <w:top w:w="100" w:type="dxa"/>
              <w:left w:w="100" w:type="dxa"/>
              <w:bottom w:w="100" w:type="dxa"/>
              <w:right w:w="100" w:type="dxa"/>
            </w:tcMar>
            <w:vAlign w:val="center"/>
          </w:tcPr>
          <w:p w14:paraId="7A28D4AE" w14:textId="77777777" w:rsidR="008A34AE" w:rsidRDefault="00F35562">
            <w:pPr>
              <w:widowControl w:val="0"/>
              <w:spacing w:line="240" w:lineRule="auto"/>
              <w:contextualSpacing w:val="0"/>
              <w:rPr>
                <w:color w:val="205968"/>
                <w:sz w:val="18"/>
                <w:szCs w:val="18"/>
              </w:rPr>
            </w:pPr>
            <w:r>
              <w:rPr>
                <w:color w:val="205968"/>
                <w:sz w:val="18"/>
                <w:szCs w:val="18"/>
              </w:rPr>
              <w:t>Secretaría de Hacienda y Crédito Público</w:t>
            </w:r>
          </w:p>
        </w:tc>
        <w:tc>
          <w:tcPr>
            <w:tcW w:w="1701" w:type="dxa"/>
            <w:shd w:val="clear" w:color="auto" w:fill="93CDDC"/>
            <w:tcMar>
              <w:top w:w="100" w:type="dxa"/>
              <w:left w:w="100" w:type="dxa"/>
              <w:bottom w:w="100" w:type="dxa"/>
              <w:right w:w="100" w:type="dxa"/>
            </w:tcMar>
            <w:vAlign w:val="center"/>
          </w:tcPr>
          <w:p w14:paraId="0B742341" w14:textId="77777777" w:rsidR="008A34AE" w:rsidRDefault="00F35562">
            <w:pPr>
              <w:widowControl w:val="0"/>
              <w:spacing w:line="240" w:lineRule="auto"/>
              <w:contextualSpacing w:val="0"/>
              <w:jc w:val="center"/>
              <w:rPr>
                <w:color w:val="205968"/>
                <w:sz w:val="18"/>
                <w:szCs w:val="18"/>
              </w:rPr>
            </w:pPr>
            <w:r>
              <w:rPr>
                <w:color w:val="205968"/>
                <w:sz w:val="18"/>
                <w:szCs w:val="18"/>
              </w:rPr>
              <w:t>30/04/2018</w:t>
            </w:r>
          </w:p>
        </w:tc>
        <w:tc>
          <w:tcPr>
            <w:tcW w:w="1276" w:type="dxa"/>
            <w:shd w:val="clear" w:color="auto" w:fill="93CDDC"/>
            <w:tcMar>
              <w:top w:w="100" w:type="dxa"/>
              <w:left w:w="100" w:type="dxa"/>
              <w:bottom w:w="100" w:type="dxa"/>
              <w:right w:w="100" w:type="dxa"/>
            </w:tcMar>
            <w:vAlign w:val="center"/>
          </w:tcPr>
          <w:p w14:paraId="01793AD3" w14:textId="77777777" w:rsidR="008A34AE" w:rsidRDefault="00F35562">
            <w:pPr>
              <w:widowControl w:val="0"/>
              <w:pBdr>
                <w:top w:val="nil"/>
                <w:left w:val="nil"/>
                <w:bottom w:val="nil"/>
                <w:right w:val="nil"/>
                <w:between w:val="nil"/>
              </w:pBdr>
              <w:spacing w:line="240" w:lineRule="auto"/>
              <w:contextualSpacing w:val="0"/>
              <w:jc w:val="center"/>
              <w:rPr>
                <w:color w:val="205968"/>
                <w:sz w:val="18"/>
                <w:szCs w:val="18"/>
              </w:rPr>
            </w:pPr>
            <w:r>
              <w:rPr>
                <w:color w:val="205968"/>
                <w:sz w:val="18"/>
                <w:szCs w:val="18"/>
              </w:rPr>
              <w:t>Incompleta</w:t>
            </w:r>
          </w:p>
        </w:tc>
        <w:tc>
          <w:tcPr>
            <w:tcW w:w="6662" w:type="dxa"/>
            <w:shd w:val="clear" w:color="auto" w:fill="B7DDE8"/>
            <w:tcMar>
              <w:top w:w="100" w:type="dxa"/>
              <w:left w:w="100" w:type="dxa"/>
              <w:bottom w:w="100" w:type="dxa"/>
              <w:right w:w="100" w:type="dxa"/>
            </w:tcMar>
            <w:vAlign w:val="center"/>
          </w:tcPr>
          <w:p w14:paraId="22D26BB3" w14:textId="77777777" w:rsidR="008A34AE" w:rsidRDefault="00F35562">
            <w:pPr>
              <w:widowControl w:val="0"/>
              <w:spacing w:line="240" w:lineRule="auto"/>
              <w:contextualSpacing w:val="0"/>
              <w:rPr>
                <w:color w:val="205968"/>
                <w:sz w:val="18"/>
                <w:szCs w:val="18"/>
              </w:rPr>
            </w:pPr>
            <w:r>
              <w:rPr>
                <w:color w:val="205968"/>
                <w:sz w:val="18"/>
                <w:szCs w:val="18"/>
              </w:rPr>
              <w:t xml:space="preserve">Es la misma información que se presenta en el resumen general del micrositio. El nivel de agregación de los datos está a nivel de entidad federativa y por sector. No es posible identificar los conceptos de gasto por sector y la información no se identifica por municipio o localidad. </w:t>
            </w:r>
          </w:p>
        </w:tc>
      </w:tr>
      <w:tr w:rsidR="008A34AE" w14:paraId="0569562C" w14:textId="77777777">
        <w:trPr>
          <w:trHeight w:val="1020"/>
        </w:trPr>
        <w:tc>
          <w:tcPr>
            <w:tcW w:w="2268" w:type="dxa"/>
            <w:shd w:val="clear" w:color="auto" w:fill="31849B"/>
            <w:tcMar>
              <w:top w:w="100" w:type="dxa"/>
              <w:left w:w="100" w:type="dxa"/>
              <w:bottom w:w="100" w:type="dxa"/>
              <w:right w:w="100" w:type="dxa"/>
            </w:tcMar>
            <w:vAlign w:val="center"/>
          </w:tcPr>
          <w:p w14:paraId="5C585A3E" w14:textId="77777777" w:rsidR="008A34AE" w:rsidRDefault="00F35562">
            <w:pPr>
              <w:widowControl w:val="0"/>
              <w:spacing w:line="240" w:lineRule="auto"/>
              <w:contextualSpacing w:val="0"/>
              <w:rPr>
                <w:b/>
                <w:color w:val="FFFFFF"/>
                <w:sz w:val="18"/>
                <w:szCs w:val="18"/>
              </w:rPr>
            </w:pPr>
            <w:r>
              <w:rPr>
                <w:b/>
                <w:color w:val="FFFFFF"/>
                <w:sz w:val="18"/>
                <w:szCs w:val="18"/>
              </w:rPr>
              <w:t>Infraestructura afectada del sector salud</w:t>
            </w:r>
          </w:p>
        </w:tc>
        <w:tc>
          <w:tcPr>
            <w:tcW w:w="1985" w:type="dxa"/>
            <w:shd w:val="clear" w:color="auto" w:fill="93CDDC"/>
            <w:tcMar>
              <w:top w:w="100" w:type="dxa"/>
              <w:left w:w="100" w:type="dxa"/>
              <w:bottom w:w="100" w:type="dxa"/>
              <w:right w:w="100" w:type="dxa"/>
            </w:tcMar>
            <w:vAlign w:val="center"/>
          </w:tcPr>
          <w:p w14:paraId="448AD8E9" w14:textId="77777777" w:rsidR="008A34AE" w:rsidRDefault="00F35562">
            <w:pPr>
              <w:widowControl w:val="0"/>
              <w:spacing w:line="240" w:lineRule="auto"/>
              <w:contextualSpacing w:val="0"/>
              <w:rPr>
                <w:color w:val="205968"/>
                <w:sz w:val="18"/>
                <w:szCs w:val="18"/>
              </w:rPr>
            </w:pPr>
            <w:r>
              <w:rPr>
                <w:color w:val="205968"/>
                <w:sz w:val="18"/>
                <w:szCs w:val="18"/>
              </w:rPr>
              <w:t>Instituto de Seguridad y Servicios Sociales de los Trabajadores del Estado</w:t>
            </w:r>
          </w:p>
        </w:tc>
        <w:tc>
          <w:tcPr>
            <w:tcW w:w="1701" w:type="dxa"/>
            <w:shd w:val="clear" w:color="auto" w:fill="93CDDC"/>
            <w:tcMar>
              <w:top w:w="100" w:type="dxa"/>
              <w:left w:w="100" w:type="dxa"/>
              <w:bottom w:w="100" w:type="dxa"/>
              <w:right w:w="100" w:type="dxa"/>
            </w:tcMar>
            <w:vAlign w:val="center"/>
          </w:tcPr>
          <w:p w14:paraId="1DB03B10" w14:textId="77777777" w:rsidR="008A34AE" w:rsidRDefault="00F35562">
            <w:pPr>
              <w:widowControl w:val="0"/>
              <w:spacing w:line="240" w:lineRule="auto"/>
              <w:contextualSpacing w:val="0"/>
              <w:jc w:val="center"/>
              <w:rPr>
                <w:color w:val="205968"/>
                <w:sz w:val="18"/>
                <w:szCs w:val="18"/>
              </w:rPr>
            </w:pPr>
            <w:r>
              <w:rPr>
                <w:color w:val="205968"/>
                <w:sz w:val="18"/>
                <w:szCs w:val="18"/>
              </w:rPr>
              <w:t>12/04/2018</w:t>
            </w:r>
          </w:p>
        </w:tc>
        <w:tc>
          <w:tcPr>
            <w:tcW w:w="1276" w:type="dxa"/>
            <w:shd w:val="clear" w:color="auto" w:fill="93CDDC"/>
            <w:tcMar>
              <w:top w:w="100" w:type="dxa"/>
              <w:left w:w="100" w:type="dxa"/>
              <w:bottom w:w="100" w:type="dxa"/>
              <w:right w:w="100" w:type="dxa"/>
            </w:tcMar>
            <w:vAlign w:val="center"/>
          </w:tcPr>
          <w:p w14:paraId="0CD6952E" w14:textId="77777777" w:rsidR="008A34AE" w:rsidRDefault="00F35562">
            <w:pPr>
              <w:widowControl w:val="0"/>
              <w:pBdr>
                <w:top w:val="nil"/>
                <w:left w:val="nil"/>
                <w:bottom w:val="nil"/>
                <w:right w:val="nil"/>
                <w:between w:val="nil"/>
              </w:pBdr>
              <w:spacing w:line="240" w:lineRule="auto"/>
              <w:contextualSpacing w:val="0"/>
              <w:jc w:val="center"/>
              <w:rPr>
                <w:color w:val="205968"/>
                <w:sz w:val="18"/>
                <w:szCs w:val="18"/>
              </w:rPr>
            </w:pPr>
            <w:r>
              <w:rPr>
                <w:color w:val="205968"/>
                <w:sz w:val="18"/>
                <w:szCs w:val="18"/>
              </w:rPr>
              <w:t>Incompleta</w:t>
            </w:r>
          </w:p>
        </w:tc>
        <w:tc>
          <w:tcPr>
            <w:tcW w:w="6662" w:type="dxa"/>
            <w:shd w:val="clear" w:color="auto" w:fill="B7DDE8"/>
            <w:tcMar>
              <w:top w:w="100" w:type="dxa"/>
              <w:left w:w="100" w:type="dxa"/>
              <w:bottom w:w="100" w:type="dxa"/>
              <w:right w:w="100" w:type="dxa"/>
            </w:tcMar>
            <w:vAlign w:val="center"/>
          </w:tcPr>
          <w:p w14:paraId="1F25BA50" w14:textId="207EFE6D" w:rsidR="008A34AE" w:rsidRDefault="00F35562">
            <w:pPr>
              <w:widowControl w:val="0"/>
              <w:pBdr>
                <w:top w:val="nil"/>
                <w:left w:val="nil"/>
                <w:bottom w:val="nil"/>
                <w:right w:val="nil"/>
                <w:between w:val="nil"/>
              </w:pBdr>
              <w:spacing w:line="240" w:lineRule="auto"/>
              <w:contextualSpacing w:val="0"/>
              <w:rPr>
                <w:color w:val="205968"/>
                <w:sz w:val="18"/>
                <w:szCs w:val="18"/>
              </w:rPr>
            </w:pPr>
            <w:r>
              <w:rPr>
                <w:color w:val="205968"/>
                <w:sz w:val="18"/>
                <w:szCs w:val="18"/>
              </w:rPr>
              <w:t xml:space="preserve">De los 145 registros, 88% no cuenta con URL del dictamen técnico. </w:t>
            </w:r>
            <w:r w:rsidR="007F67F0">
              <w:rPr>
                <w:color w:val="205968"/>
                <w:sz w:val="18"/>
                <w:szCs w:val="18"/>
              </w:rPr>
              <w:t xml:space="preserve">En tanto que </w:t>
            </w:r>
            <w:r>
              <w:rPr>
                <w:color w:val="205968"/>
                <w:sz w:val="18"/>
                <w:szCs w:val="18"/>
              </w:rPr>
              <w:t xml:space="preserve">66% no indica la descripción de las obras, ni la o el supervisor de estas. Además, 70% de los registros no señala el costo total de las obras, y más de 75% de los registros no reportan proporción de avance. </w:t>
            </w:r>
          </w:p>
        </w:tc>
      </w:tr>
      <w:tr w:rsidR="008A34AE" w14:paraId="16A623F9" w14:textId="77777777">
        <w:tc>
          <w:tcPr>
            <w:tcW w:w="2268" w:type="dxa"/>
            <w:shd w:val="clear" w:color="auto" w:fill="31849B"/>
            <w:tcMar>
              <w:top w:w="100" w:type="dxa"/>
              <w:left w:w="100" w:type="dxa"/>
              <w:bottom w:w="100" w:type="dxa"/>
              <w:right w:w="100" w:type="dxa"/>
            </w:tcMar>
            <w:vAlign w:val="center"/>
          </w:tcPr>
          <w:p w14:paraId="351B97EC" w14:textId="77777777" w:rsidR="008A34AE" w:rsidRDefault="00F35562">
            <w:pPr>
              <w:widowControl w:val="0"/>
              <w:spacing w:line="240" w:lineRule="auto"/>
              <w:contextualSpacing w:val="0"/>
              <w:rPr>
                <w:b/>
                <w:color w:val="FFFFFF"/>
                <w:sz w:val="18"/>
                <w:szCs w:val="18"/>
              </w:rPr>
            </w:pPr>
            <w:r>
              <w:rPr>
                <w:b/>
                <w:color w:val="FFFFFF"/>
                <w:sz w:val="18"/>
                <w:szCs w:val="18"/>
              </w:rPr>
              <w:t>Patrimonio cultural e histórico dañado</w:t>
            </w:r>
          </w:p>
        </w:tc>
        <w:tc>
          <w:tcPr>
            <w:tcW w:w="1985" w:type="dxa"/>
            <w:shd w:val="clear" w:color="auto" w:fill="93CDDC"/>
            <w:tcMar>
              <w:top w:w="100" w:type="dxa"/>
              <w:left w:w="100" w:type="dxa"/>
              <w:bottom w:w="100" w:type="dxa"/>
              <w:right w:w="100" w:type="dxa"/>
            </w:tcMar>
            <w:vAlign w:val="center"/>
          </w:tcPr>
          <w:p w14:paraId="7EA00C93" w14:textId="77777777" w:rsidR="008A34AE" w:rsidRDefault="00F35562">
            <w:pPr>
              <w:widowControl w:val="0"/>
              <w:spacing w:line="240" w:lineRule="auto"/>
              <w:contextualSpacing w:val="0"/>
              <w:rPr>
                <w:color w:val="205968"/>
                <w:sz w:val="18"/>
                <w:szCs w:val="18"/>
              </w:rPr>
            </w:pPr>
            <w:r>
              <w:rPr>
                <w:color w:val="205968"/>
                <w:sz w:val="18"/>
                <w:szCs w:val="18"/>
              </w:rPr>
              <w:t>Secretaría de Cultura</w:t>
            </w:r>
          </w:p>
        </w:tc>
        <w:tc>
          <w:tcPr>
            <w:tcW w:w="1701" w:type="dxa"/>
            <w:shd w:val="clear" w:color="auto" w:fill="93CDDC"/>
            <w:tcMar>
              <w:top w:w="100" w:type="dxa"/>
              <w:left w:w="100" w:type="dxa"/>
              <w:bottom w:w="100" w:type="dxa"/>
              <w:right w:w="100" w:type="dxa"/>
            </w:tcMar>
            <w:vAlign w:val="center"/>
          </w:tcPr>
          <w:p w14:paraId="5D0F6D6B" w14:textId="77777777" w:rsidR="008A34AE" w:rsidRDefault="00F35562">
            <w:pPr>
              <w:widowControl w:val="0"/>
              <w:spacing w:line="240" w:lineRule="auto"/>
              <w:contextualSpacing w:val="0"/>
              <w:jc w:val="center"/>
              <w:rPr>
                <w:color w:val="205968"/>
                <w:sz w:val="18"/>
                <w:szCs w:val="18"/>
              </w:rPr>
            </w:pPr>
            <w:r>
              <w:rPr>
                <w:color w:val="205968"/>
                <w:sz w:val="18"/>
                <w:szCs w:val="18"/>
              </w:rPr>
              <w:t>09/05/2018</w:t>
            </w:r>
          </w:p>
        </w:tc>
        <w:tc>
          <w:tcPr>
            <w:tcW w:w="1276" w:type="dxa"/>
            <w:shd w:val="clear" w:color="auto" w:fill="93CDDC"/>
            <w:tcMar>
              <w:top w:w="100" w:type="dxa"/>
              <w:left w:w="100" w:type="dxa"/>
              <w:bottom w:w="100" w:type="dxa"/>
              <w:right w:w="100" w:type="dxa"/>
            </w:tcMar>
            <w:vAlign w:val="center"/>
          </w:tcPr>
          <w:p w14:paraId="33E59231" w14:textId="77777777" w:rsidR="008A34AE" w:rsidRDefault="00F35562">
            <w:pPr>
              <w:widowControl w:val="0"/>
              <w:pBdr>
                <w:top w:val="nil"/>
                <w:left w:val="nil"/>
                <w:bottom w:val="nil"/>
                <w:right w:val="nil"/>
                <w:between w:val="nil"/>
              </w:pBdr>
              <w:spacing w:line="240" w:lineRule="auto"/>
              <w:contextualSpacing w:val="0"/>
              <w:jc w:val="center"/>
              <w:rPr>
                <w:color w:val="205968"/>
                <w:sz w:val="18"/>
                <w:szCs w:val="18"/>
              </w:rPr>
            </w:pPr>
            <w:r>
              <w:rPr>
                <w:color w:val="205968"/>
                <w:sz w:val="18"/>
                <w:szCs w:val="18"/>
              </w:rPr>
              <w:t>Incompleta</w:t>
            </w:r>
          </w:p>
        </w:tc>
        <w:tc>
          <w:tcPr>
            <w:tcW w:w="6662" w:type="dxa"/>
            <w:shd w:val="clear" w:color="auto" w:fill="B7DDE8"/>
            <w:tcMar>
              <w:top w:w="100" w:type="dxa"/>
              <w:left w:w="100" w:type="dxa"/>
              <w:bottom w:w="100" w:type="dxa"/>
              <w:right w:w="100" w:type="dxa"/>
            </w:tcMar>
            <w:vAlign w:val="center"/>
          </w:tcPr>
          <w:p w14:paraId="09261FFF" w14:textId="77777777" w:rsidR="008A34AE" w:rsidRDefault="00F35562">
            <w:pPr>
              <w:widowControl w:val="0"/>
              <w:pBdr>
                <w:top w:val="nil"/>
                <w:left w:val="nil"/>
                <w:bottom w:val="nil"/>
                <w:right w:val="nil"/>
                <w:between w:val="nil"/>
              </w:pBdr>
              <w:spacing w:line="240" w:lineRule="auto"/>
              <w:contextualSpacing w:val="0"/>
              <w:rPr>
                <w:color w:val="205968"/>
                <w:sz w:val="18"/>
                <w:szCs w:val="18"/>
              </w:rPr>
            </w:pPr>
            <w:r>
              <w:rPr>
                <w:color w:val="205968"/>
                <w:sz w:val="18"/>
                <w:szCs w:val="18"/>
              </w:rPr>
              <w:t xml:space="preserve">Se analizó en la sección anterior. </w:t>
            </w:r>
          </w:p>
        </w:tc>
      </w:tr>
      <w:tr w:rsidR="008A34AE" w14:paraId="7F8B9DA5" w14:textId="77777777">
        <w:tc>
          <w:tcPr>
            <w:tcW w:w="2268" w:type="dxa"/>
            <w:shd w:val="clear" w:color="auto" w:fill="31849B"/>
            <w:tcMar>
              <w:top w:w="100" w:type="dxa"/>
              <w:left w:w="100" w:type="dxa"/>
              <w:bottom w:w="100" w:type="dxa"/>
              <w:right w:w="100" w:type="dxa"/>
            </w:tcMar>
            <w:vAlign w:val="center"/>
          </w:tcPr>
          <w:p w14:paraId="38D6899C" w14:textId="77777777" w:rsidR="008A34AE" w:rsidRDefault="00F35562">
            <w:pPr>
              <w:widowControl w:val="0"/>
              <w:pBdr>
                <w:top w:val="nil"/>
                <w:left w:val="nil"/>
                <w:bottom w:val="nil"/>
                <w:right w:val="nil"/>
                <w:between w:val="nil"/>
              </w:pBdr>
              <w:spacing w:line="240" w:lineRule="auto"/>
              <w:contextualSpacing w:val="0"/>
              <w:rPr>
                <w:b/>
                <w:color w:val="FFFFFF"/>
                <w:sz w:val="18"/>
                <w:szCs w:val="18"/>
              </w:rPr>
            </w:pPr>
            <w:r>
              <w:rPr>
                <w:b/>
                <w:color w:val="FFFFFF"/>
                <w:sz w:val="18"/>
                <w:szCs w:val="18"/>
              </w:rPr>
              <w:t>Infraestructura afectada del sector salud</w:t>
            </w:r>
          </w:p>
        </w:tc>
        <w:tc>
          <w:tcPr>
            <w:tcW w:w="1985" w:type="dxa"/>
            <w:shd w:val="clear" w:color="auto" w:fill="93CDDC"/>
            <w:tcMar>
              <w:top w:w="100" w:type="dxa"/>
              <w:left w:w="100" w:type="dxa"/>
              <w:bottom w:w="100" w:type="dxa"/>
              <w:right w:w="100" w:type="dxa"/>
            </w:tcMar>
            <w:vAlign w:val="center"/>
          </w:tcPr>
          <w:p w14:paraId="1969FF83" w14:textId="77777777" w:rsidR="008A34AE" w:rsidRDefault="00F35562">
            <w:pPr>
              <w:widowControl w:val="0"/>
              <w:pBdr>
                <w:top w:val="nil"/>
                <w:left w:val="nil"/>
                <w:bottom w:val="nil"/>
                <w:right w:val="nil"/>
                <w:between w:val="nil"/>
              </w:pBdr>
              <w:spacing w:line="240" w:lineRule="auto"/>
              <w:contextualSpacing w:val="0"/>
              <w:rPr>
                <w:color w:val="205968"/>
                <w:sz w:val="18"/>
                <w:szCs w:val="18"/>
              </w:rPr>
            </w:pPr>
            <w:r>
              <w:rPr>
                <w:color w:val="205968"/>
                <w:sz w:val="18"/>
                <w:szCs w:val="18"/>
              </w:rPr>
              <w:t>Secretaría de Salud</w:t>
            </w:r>
          </w:p>
        </w:tc>
        <w:tc>
          <w:tcPr>
            <w:tcW w:w="1701" w:type="dxa"/>
            <w:shd w:val="clear" w:color="auto" w:fill="93CDDC"/>
            <w:tcMar>
              <w:top w:w="100" w:type="dxa"/>
              <w:left w:w="100" w:type="dxa"/>
              <w:bottom w:w="100" w:type="dxa"/>
              <w:right w:w="100" w:type="dxa"/>
            </w:tcMar>
            <w:vAlign w:val="center"/>
          </w:tcPr>
          <w:p w14:paraId="127C1644" w14:textId="77777777" w:rsidR="008A34AE" w:rsidRDefault="00F35562">
            <w:pPr>
              <w:widowControl w:val="0"/>
              <w:pBdr>
                <w:top w:val="nil"/>
                <w:left w:val="nil"/>
                <w:bottom w:val="nil"/>
                <w:right w:val="nil"/>
                <w:between w:val="nil"/>
              </w:pBdr>
              <w:spacing w:line="240" w:lineRule="auto"/>
              <w:contextualSpacing w:val="0"/>
              <w:jc w:val="center"/>
              <w:rPr>
                <w:color w:val="205968"/>
                <w:sz w:val="18"/>
                <w:szCs w:val="18"/>
              </w:rPr>
            </w:pPr>
            <w:r>
              <w:rPr>
                <w:color w:val="205968"/>
                <w:sz w:val="18"/>
                <w:szCs w:val="18"/>
              </w:rPr>
              <w:t>21/08/2018</w:t>
            </w:r>
          </w:p>
        </w:tc>
        <w:tc>
          <w:tcPr>
            <w:tcW w:w="1276" w:type="dxa"/>
            <w:shd w:val="clear" w:color="auto" w:fill="93CDDC"/>
            <w:tcMar>
              <w:top w:w="100" w:type="dxa"/>
              <w:left w:w="100" w:type="dxa"/>
              <w:bottom w:w="100" w:type="dxa"/>
              <w:right w:w="100" w:type="dxa"/>
            </w:tcMar>
            <w:vAlign w:val="center"/>
          </w:tcPr>
          <w:p w14:paraId="3D6EE1BB" w14:textId="77777777" w:rsidR="008A34AE" w:rsidRDefault="00F35562">
            <w:pPr>
              <w:widowControl w:val="0"/>
              <w:pBdr>
                <w:top w:val="nil"/>
                <w:left w:val="nil"/>
                <w:bottom w:val="nil"/>
                <w:right w:val="nil"/>
                <w:between w:val="nil"/>
              </w:pBdr>
              <w:spacing w:line="240" w:lineRule="auto"/>
              <w:contextualSpacing w:val="0"/>
              <w:jc w:val="center"/>
              <w:rPr>
                <w:color w:val="205968"/>
                <w:sz w:val="18"/>
                <w:szCs w:val="18"/>
              </w:rPr>
            </w:pPr>
            <w:r>
              <w:rPr>
                <w:color w:val="205968"/>
                <w:sz w:val="18"/>
                <w:szCs w:val="18"/>
              </w:rPr>
              <w:t>Incompleta</w:t>
            </w:r>
          </w:p>
        </w:tc>
        <w:tc>
          <w:tcPr>
            <w:tcW w:w="6662" w:type="dxa"/>
            <w:shd w:val="clear" w:color="auto" w:fill="B7DDE8"/>
            <w:tcMar>
              <w:top w:w="100" w:type="dxa"/>
              <w:left w:w="100" w:type="dxa"/>
              <w:bottom w:w="100" w:type="dxa"/>
              <w:right w:w="100" w:type="dxa"/>
            </w:tcMar>
            <w:vAlign w:val="center"/>
          </w:tcPr>
          <w:p w14:paraId="61D69128" w14:textId="77777777" w:rsidR="008A34AE" w:rsidRDefault="00F35562">
            <w:pPr>
              <w:widowControl w:val="0"/>
              <w:spacing w:line="240" w:lineRule="auto"/>
              <w:contextualSpacing w:val="0"/>
              <w:rPr>
                <w:color w:val="205968"/>
                <w:sz w:val="18"/>
                <w:szCs w:val="18"/>
              </w:rPr>
            </w:pPr>
            <w:r>
              <w:rPr>
                <w:color w:val="205968"/>
                <w:sz w:val="18"/>
                <w:szCs w:val="18"/>
              </w:rPr>
              <w:t>De los 137 registros que reporta la base de datos, ninguno da cuenta del URL de los dictámenes técnicos de daños, pero s</w:t>
            </w:r>
            <w:r w:rsidR="00340F48">
              <w:rPr>
                <w:color w:val="205968"/>
                <w:sz w:val="18"/>
                <w:szCs w:val="18"/>
              </w:rPr>
              <w:t>í</w:t>
            </w:r>
            <w:r>
              <w:rPr>
                <w:color w:val="205968"/>
                <w:sz w:val="18"/>
                <w:szCs w:val="18"/>
              </w:rPr>
              <w:t xml:space="preserve"> hay una descripción de los daños. Aun cuando se establece el costo total de las obras por registro, este no se indica c</w:t>
            </w:r>
            <w:r w:rsidR="00340F48">
              <w:rPr>
                <w:color w:val="205968"/>
                <w:sz w:val="18"/>
                <w:szCs w:val="18"/>
              </w:rPr>
              <w:t>o</w:t>
            </w:r>
            <w:r>
              <w:rPr>
                <w:color w:val="205968"/>
                <w:sz w:val="18"/>
                <w:szCs w:val="18"/>
              </w:rPr>
              <w:t>mo programado, aprobado, transferido o ejercido. Tampoco es posible identificar el avance físico ni financiero de las obras, así como de la supervisión de estas. S</w:t>
            </w:r>
            <w:r w:rsidR="00340F48">
              <w:rPr>
                <w:color w:val="205968"/>
                <w:sz w:val="18"/>
                <w:szCs w:val="18"/>
              </w:rPr>
              <w:t>o</w:t>
            </w:r>
            <w:r>
              <w:rPr>
                <w:color w:val="205968"/>
                <w:sz w:val="18"/>
                <w:szCs w:val="18"/>
              </w:rPr>
              <w:t xml:space="preserve">lo indica la instancia responsable, es decir, si es estatal o federal. </w:t>
            </w:r>
          </w:p>
        </w:tc>
      </w:tr>
      <w:tr w:rsidR="008A34AE" w14:paraId="4EB01F4E" w14:textId="77777777">
        <w:tc>
          <w:tcPr>
            <w:tcW w:w="2268" w:type="dxa"/>
            <w:shd w:val="clear" w:color="auto" w:fill="31849B"/>
            <w:tcMar>
              <w:top w:w="100" w:type="dxa"/>
              <w:left w:w="100" w:type="dxa"/>
              <w:bottom w:w="100" w:type="dxa"/>
              <w:right w:w="100" w:type="dxa"/>
            </w:tcMar>
            <w:vAlign w:val="center"/>
          </w:tcPr>
          <w:p w14:paraId="2A2BB549" w14:textId="77777777" w:rsidR="008A34AE" w:rsidRDefault="00F35562">
            <w:pPr>
              <w:widowControl w:val="0"/>
              <w:pBdr>
                <w:top w:val="nil"/>
                <w:left w:val="nil"/>
                <w:bottom w:val="nil"/>
                <w:right w:val="nil"/>
                <w:between w:val="nil"/>
              </w:pBdr>
              <w:spacing w:line="240" w:lineRule="auto"/>
              <w:contextualSpacing w:val="0"/>
              <w:rPr>
                <w:b/>
                <w:color w:val="FFFFFF"/>
                <w:sz w:val="18"/>
                <w:szCs w:val="18"/>
              </w:rPr>
            </w:pPr>
            <w:r>
              <w:rPr>
                <w:b/>
                <w:color w:val="FFFFFF"/>
                <w:sz w:val="18"/>
                <w:szCs w:val="18"/>
              </w:rPr>
              <w:lastRenderedPageBreak/>
              <w:t>Infraestructura hospitalaria afectada del sector salud</w:t>
            </w:r>
          </w:p>
        </w:tc>
        <w:tc>
          <w:tcPr>
            <w:tcW w:w="1985" w:type="dxa"/>
            <w:shd w:val="clear" w:color="auto" w:fill="93CDDC"/>
            <w:tcMar>
              <w:top w:w="100" w:type="dxa"/>
              <w:left w:w="100" w:type="dxa"/>
              <w:bottom w:w="100" w:type="dxa"/>
              <w:right w:w="100" w:type="dxa"/>
            </w:tcMar>
            <w:vAlign w:val="center"/>
          </w:tcPr>
          <w:p w14:paraId="69D66C30" w14:textId="77777777" w:rsidR="008A34AE" w:rsidRDefault="00F35562">
            <w:pPr>
              <w:widowControl w:val="0"/>
              <w:pBdr>
                <w:top w:val="nil"/>
                <w:left w:val="nil"/>
                <w:bottom w:val="nil"/>
                <w:right w:val="nil"/>
                <w:between w:val="nil"/>
              </w:pBdr>
              <w:spacing w:line="240" w:lineRule="auto"/>
              <w:contextualSpacing w:val="0"/>
              <w:rPr>
                <w:color w:val="205968"/>
                <w:sz w:val="18"/>
                <w:szCs w:val="18"/>
              </w:rPr>
            </w:pPr>
            <w:r>
              <w:rPr>
                <w:color w:val="205968"/>
                <w:sz w:val="18"/>
                <w:szCs w:val="18"/>
              </w:rPr>
              <w:t>Instituto Mexicano del Seguro Social</w:t>
            </w:r>
          </w:p>
        </w:tc>
        <w:tc>
          <w:tcPr>
            <w:tcW w:w="1701" w:type="dxa"/>
            <w:shd w:val="clear" w:color="auto" w:fill="93CDDC"/>
            <w:tcMar>
              <w:top w:w="100" w:type="dxa"/>
              <w:left w:w="100" w:type="dxa"/>
              <w:bottom w:w="100" w:type="dxa"/>
              <w:right w:w="100" w:type="dxa"/>
            </w:tcMar>
            <w:vAlign w:val="center"/>
          </w:tcPr>
          <w:p w14:paraId="62014FE4" w14:textId="77777777" w:rsidR="008A34AE" w:rsidRDefault="00F35562">
            <w:pPr>
              <w:widowControl w:val="0"/>
              <w:pBdr>
                <w:top w:val="nil"/>
                <w:left w:val="nil"/>
                <w:bottom w:val="nil"/>
                <w:right w:val="nil"/>
                <w:between w:val="nil"/>
              </w:pBdr>
              <w:spacing w:line="240" w:lineRule="auto"/>
              <w:contextualSpacing w:val="0"/>
              <w:jc w:val="center"/>
              <w:rPr>
                <w:color w:val="205968"/>
                <w:sz w:val="18"/>
                <w:szCs w:val="18"/>
                <w:shd w:val="clear" w:color="auto" w:fill="ECF6EF"/>
              </w:rPr>
            </w:pPr>
            <w:r>
              <w:rPr>
                <w:color w:val="205968"/>
                <w:sz w:val="18"/>
                <w:szCs w:val="18"/>
              </w:rPr>
              <w:t>27/08/2018</w:t>
            </w:r>
          </w:p>
        </w:tc>
        <w:tc>
          <w:tcPr>
            <w:tcW w:w="1276" w:type="dxa"/>
            <w:shd w:val="clear" w:color="auto" w:fill="93CDDC"/>
            <w:tcMar>
              <w:top w:w="100" w:type="dxa"/>
              <w:left w:w="100" w:type="dxa"/>
              <w:bottom w:w="100" w:type="dxa"/>
              <w:right w:w="100" w:type="dxa"/>
            </w:tcMar>
            <w:vAlign w:val="center"/>
          </w:tcPr>
          <w:p w14:paraId="6762D197" w14:textId="77777777" w:rsidR="008A34AE" w:rsidRDefault="00F35562">
            <w:pPr>
              <w:widowControl w:val="0"/>
              <w:pBdr>
                <w:top w:val="nil"/>
                <w:left w:val="nil"/>
                <w:bottom w:val="nil"/>
                <w:right w:val="nil"/>
                <w:between w:val="nil"/>
              </w:pBdr>
              <w:spacing w:line="240" w:lineRule="auto"/>
              <w:contextualSpacing w:val="0"/>
              <w:jc w:val="center"/>
              <w:rPr>
                <w:color w:val="205968"/>
                <w:sz w:val="18"/>
                <w:szCs w:val="18"/>
              </w:rPr>
            </w:pPr>
            <w:r>
              <w:rPr>
                <w:color w:val="205968"/>
                <w:sz w:val="18"/>
                <w:szCs w:val="18"/>
              </w:rPr>
              <w:t>Incompleta</w:t>
            </w:r>
          </w:p>
        </w:tc>
        <w:tc>
          <w:tcPr>
            <w:tcW w:w="6662" w:type="dxa"/>
            <w:shd w:val="clear" w:color="auto" w:fill="B7DDE8"/>
            <w:tcMar>
              <w:top w:w="100" w:type="dxa"/>
              <w:left w:w="100" w:type="dxa"/>
              <w:bottom w:w="100" w:type="dxa"/>
              <w:right w:w="100" w:type="dxa"/>
            </w:tcMar>
            <w:vAlign w:val="center"/>
          </w:tcPr>
          <w:p w14:paraId="550F800C" w14:textId="77777777" w:rsidR="008A34AE" w:rsidRDefault="00F35562">
            <w:pPr>
              <w:widowControl w:val="0"/>
              <w:pBdr>
                <w:top w:val="nil"/>
                <w:left w:val="nil"/>
                <w:bottom w:val="nil"/>
                <w:right w:val="nil"/>
                <w:between w:val="nil"/>
              </w:pBdr>
              <w:spacing w:line="240" w:lineRule="auto"/>
              <w:contextualSpacing w:val="0"/>
              <w:rPr>
                <w:color w:val="205968"/>
                <w:sz w:val="18"/>
                <w:szCs w:val="18"/>
              </w:rPr>
            </w:pPr>
            <w:r>
              <w:rPr>
                <w:color w:val="205968"/>
                <w:sz w:val="18"/>
                <w:szCs w:val="18"/>
              </w:rPr>
              <w:t xml:space="preserve">De los 15 registros, tres no cuentan con información sobre los costos de las obras, ni datos del avance físico de las mismas, así como de las actas </w:t>
            </w:r>
            <w:r w:rsidR="00340F48">
              <w:rPr>
                <w:color w:val="205968"/>
                <w:sz w:val="18"/>
                <w:szCs w:val="18"/>
              </w:rPr>
              <w:t xml:space="preserve">de </w:t>
            </w:r>
            <w:r>
              <w:rPr>
                <w:color w:val="205968"/>
                <w:sz w:val="18"/>
                <w:szCs w:val="18"/>
              </w:rPr>
              <w:t xml:space="preserve">entrega. </w:t>
            </w:r>
          </w:p>
        </w:tc>
      </w:tr>
      <w:tr w:rsidR="00965E3B" w14:paraId="374BF444" w14:textId="77777777">
        <w:tc>
          <w:tcPr>
            <w:tcW w:w="2268" w:type="dxa"/>
            <w:shd w:val="clear" w:color="auto" w:fill="31849B"/>
            <w:tcMar>
              <w:top w:w="100" w:type="dxa"/>
              <w:left w:w="100" w:type="dxa"/>
              <w:bottom w:w="100" w:type="dxa"/>
              <w:right w:w="100" w:type="dxa"/>
            </w:tcMar>
            <w:vAlign w:val="center"/>
          </w:tcPr>
          <w:p w14:paraId="5F54F133" w14:textId="6093B4B0" w:rsidR="00965E3B" w:rsidRDefault="00965E3B" w:rsidP="00965E3B">
            <w:pPr>
              <w:widowControl w:val="0"/>
              <w:pBdr>
                <w:top w:val="nil"/>
                <w:left w:val="nil"/>
                <w:bottom w:val="nil"/>
                <w:right w:val="nil"/>
                <w:between w:val="nil"/>
              </w:pBdr>
              <w:spacing w:line="240" w:lineRule="auto"/>
              <w:contextualSpacing w:val="0"/>
              <w:rPr>
                <w:b/>
                <w:color w:val="FFFFFF"/>
                <w:sz w:val="18"/>
                <w:szCs w:val="18"/>
              </w:rPr>
            </w:pPr>
            <w:r>
              <w:rPr>
                <w:b/>
                <w:color w:val="FFFFFF"/>
                <w:sz w:val="18"/>
                <w:szCs w:val="18"/>
              </w:rPr>
              <w:t>Reconstrucción de escuelas</w:t>
            </w:r>
          </w:p>
        </w:tc>
        <w:tc>
          <w:tcPr>
            <w:tcW w:w="1985" w:type="dxa"/>
            <w:shd w:val="clear" w:color="auto" w:fill="93CDDC"/>
            <w:tcMar>
              <w:top w:w="100" w:type="dxa"/>
              <w:left w:w="100" w:type="dxa"/>
              <w:bottom w:w="100" w:type="dxa"/>
              <w:right w:w="100" w:type="dxa"/>
            </w:tcMar>
            <w:vAlign w:val="center"/>
          </w:tcPr>
          <w:p w14:paraId="58B62B36" w14:textId="1D87B7A1" w:rsidR="00965E3B" w:rsidRDefault="00965E3B" w:rsidP="00965E3B">
            <w:pPr>
              <w:widowControl w:val="0"/>
              <w:pBdr>
                <w:top w:val="nil"/>
                <w:left w:val="nil"/>
                <w:bottom w:val="nil"/>
                <w:right w:val="nil"/>
                <w:between w:val="nil"/>
              </w:pBdr>
              <w:spacing w:line="240" w:lineRule="auto"/>
              <w:contextualSpacing w:val="0"/>
              <w:rPr>
                <w:color w:val="205968"/>
                <w:sz w:val="18"/>
                <w:szCs w:val="18"/>
              </w:rPr>
            </w:pPr>
            <w:r>
              <w:rPr>
                <w:color w:val="205968"/>
                <w:sz w:val="18"/>
                <w:szCs w:val="18"/>
              </w:rPr>
              <w:t>Secretaría de Educación Pública</w:t>
            </w:r>
          </w:p>
        </w:tc>
        <w:tc>
          <w:tcPr>
            <w:tcW w:w="1701" w:type="dxa"/>
            <w:shd w:val="clear" w:color="auto" w:fill="93CDDC"/>
            <w:tcMar>
              <w:top w:w="100" w:type="dxa"/>
              <w:left w:w="100" w:type="dxa"/>
              <w:bottom w:w="100" w:type="dxa"/>
              <w:right w:w="100" w:type="dxa"/>
            </w:tcMar>
            <w:vAlign w:val="center"/>
          </w:tcPr>
          <w:p w14:paraId="5FA48FDB" w14:textId="7A9C6058" w:rsidR="00965E3B" w:rsidRDefault="00965E3B" w:rsidP="00965E3B">
            <w:pPr>
              <w:widowControl w:val="0"/>
              <w:pBdr>
                <w:top w:val="nil"/>
                <w:left w:val="nil"/>
                <w:bottom w:val="nil"/>
                <w:right w:val="nil"/>
                <w:between w:val="nil"/>
              </w:pBdr>
              <w:spacing w:line="240" w:lineRule="auto"/>
              <w:contextualSpacing w:val="0"/>
              <w:jc w:val="center"/>
              <w:rPr>
                <w:color w:val="205968"/>
                <w:sz w:val="18"/>
                <w:szCs w:val="18"/>
              </w:rPr>
            </w:pPr>
            <w:r>
              <w:rPr>
                <w:color w:val="205968"/>
                <w:sz w:val="18"/>
                <w:szCs w:val="18"/>
              </w:rPr>
              <w:t>07/09/2018</w:t>
            </w:r>
          </w:p>
        </w:tc>
        <w:tc>
          <w:tcPr>
            <w:tcW w:w="1276" w:type="dxa"/>
            <w:shd w:val="clear" w:color="auto" w:fill="93CDDC"/>
            <w:tcMar>
              <w:top w:w="100" w:type="dxa"/>
              <w:left w:w="100" w:type="dxa"/>
              <w:bottom w:w="100" w:type="dxa"/>
              <w:right w:w="100" w:type="dxa"/>
            </w:tcMar>
            <w:vAlign w:val="center"/>
          </w:tcPr>
          <w:p w14:paraId="472FAB36" w14:textId="5C290D66" w:rsidR="00965E3B" w:rsidRDefault="00965E3B" w:rsidP="00965E3B">
            <w:pPr>
              <w:widowControl w:val="0"/>
              <w:pBdr>
                <w:top w:val="nil"/>
                <w:left w:val="nil"/>
                <w:bottom w:val="nil"/>
                <w:right w:val="nil"/>
                <w:between w:val="nil"/>
              </w:pBdr>
              <w:spacing w:line="240" w:lineRule="auto"/>
              <w:contextualSpacing w:val="0"/>
              <w:jc w:val="center"/>
              <w:rPr>
                <w:color w:val="205968"/>
                <w:sz w:val="18"/>
                <w:szCs w:val="18"/>
              </w:rPr>
            </w:pPr>
            <w:r>
              <w:rPr>
                <w:color w:val="205968"/>
                <w:sz w:val="18"/>
                <w:szCs w:val="18"/>
              </w:rPr>
              <w:t>Incompleta</w:t>
            </w:r>
          </w:p>
        </w:tc>
        <w:tc>
          <w:tcPr>
            <w:tcW w:w="6662" w:type="dxa"/>
            <w:shd w:val="clear" w:color="auto" w:fill="B7DDE8"/>
            <w:tcMar>
              <w:top w:w="100" w:type="dxa"/>
              <w:left w:w="100" w:type="dxa"/>
              <w:bottom w:w="100" w:type="dxa"/>
              <w:right w:w="100" w:type="dxa"/>
            </w:tcMar>
            <w:vAlign w:val="center"/>
          </w:tcPr>
          <w:p w14:paraId="0AC80A9E" w14:textId="2DF3DE98" w:rsidR="00965E3B" w:rsidRDefault="00965E3B" w:rsidP="00965E3B">
            <w:pPr>
              <w:widowControl w:val="0"/>
              <w:pBdr>
                <w:top w:val="nil"/>
                <w:left w:val="nil"/>
                <w:bottom w:val="nil"/>
                <w:right w:val="nil"/>
                <w:between w:val="nil"/>
              </w:pBdr>
              <w:spacing w:line="240" w:lineRule="auto"/>
              <w:contextualSpacing w:val="0"/>
              <w:rPr>
                <w:color w:val="205968"/>
                <w:sz w:val="18"/>
                <w:szCs w:val="18"/>
              </w:rPr>
            </w:pPr>
            <w:r>
              <w:rPr>
                <w:color w:val="205968"/>
                <w:sz w:val="18"/>
                <w:szCs w:val="18"/>
              </w:rPr>
              <w:t xml:space="preserve">Se analizó en la sección anterior. </w:t>
            </w:r>
          </w:p>
        </w:tc>
      </w:tr>
      <w:tr w:rsidR="003435DC" w14:paraId="4262F95D" w14:textId="77777777">
        <w:tc>
          <w:tcPr>
            <w:tcW w:w="2268" w:type="dxa"/>
            <w:shd w:val="clear" w:color="auto" w:fill="31849B"/>
            <w:tcMar>
              <w:top w:w="100" w:type="dxa"/>
              <w:left w:w="100" w:type="dxa"/>
              <w:bottom w:w="100" w:type="dxa"/>
              <w:right w:w="100" w:type="dxa"/>
            </w:tcMar>
            <w:vAlign w:val="center"/>
          </w:tcPr>
          <w:p w14:paraId="44D0C236" w14:textId="34A96830" w:rsidR="003435DC" w:rsidRDefault="003435DC" w:rsidP="003435DC">
            <w:pPr>
              <w:widowControl w:val="0"/>
              <w:pBdr>
                <w:top w:val="nil"/>
                <w:left w:val="nil"/>
                <w:bottom w:val="nil"/>
                <w:right w:val="nil"/>
                <w:between w:val="nil"/>
              </w:pBdr>
              <w:spacing w:line="240" w:lineRule="auto"/>
              <w:contextualSpacing w:val="0"/>
              <w:rPr>
                <w:b/>
                <w:color w:val="FFFFFF"/>
                <w:sz w:val="18"/>
                <w:szCs w:val="18"/>
              </w:rPr>
            </w:pPr>
            <w:r>
              <w:rPr>
                <w:b/>
                <w:color w:val="FFFFFF"/>
                <w:sz w:val="18"/>
                <w:szCs w:val="18"/>
              </w:rPr>
              <w:t>Apoyos a viviendas</w:t>
            </w:r>
          </w:p>
        </w:tc>
        <w:tc>
          <w:tcPr>
            <w:tcW w:w="1985" w:type="dxa"/>
            <w:shd w:val="clear" w:color="auto" w:fill="93CDDC"/>
            <w:tcMar>
              <w:top w:w="100" w:type="dxa"/>
              <w:left w:w="100" w:type="dxa"/>
              <w:bottom w:w="100" w:type="dxa"/>
              <w:right w:w="100" w:type="dxa"/>
            </w:tcMar>
            <w:vAlign w:val="center"/>
          </w:tcPr>
          <w:p w14:paraId="17B77DD1" w14:textId="620ED1A0" w:rsidR="003435DC" w:rsidRDefault="003435DC" w:rsidP="003435DC">
            <w:pPr>
              <w:widowControl w:val="0"/>
              <w:pBdr>
                <w:top w:val="nil"/>
                <w:left w:val="nil"/>
                <w:bottom w:val="nil"/>
                <w:right w:val="nil"/>
                <w:between w:val="nil"/>
              </w:pBdr>
              <w:spacing w:line="240" w:lineRule="auto"/>
              <w:contextualSpacing w:val="0"/>
              <w:rPr>
                <w:color w:val="205968"/>
                <w:sz w:val="18"/>
                <w:szCs w:val="18"/>
              </w:rPr>
            </w:pPr>
            <w:r>
              <w:rPr>
                <w:color w:val="205968"/>
                <w:sz w:val="18"/>
                <w:szCs w:val="18"/>
              </w:rPr>
              <w:t>Banco del Ahorro Nacional y Servicios Financieros</w:t>
            </w:r>
          </w:p>
        </w:tc>
        <w:tc>
          <w:tcPr>
            <w:tcW w:w="1701" w:type="dxa"/>
            <w:shd w:val="clear" w:color="auto" w:fill="93CDDC"/>
            <w:tcMar>
              <w:top w:w="100" w:type="dxa"/>
              <w:left w:w="100" w:type="dxa"/>
              <w:bottom w:w="100" w:type="dxa"/>
              <w:right w:w="100" w:type="dxa"/>
            </w:tcMar>
            <w:vAlign w:val="center"/>
          </w:tcPr>
          <w:p w14:paraId="7562797D" w14:textId="26C99A6F" w:rsidR="003435DC" w:rsidRDefault="003435DC" w:rsidP="003435DC">
            <w:pPr>
              <w:widowControl w:val="0"/>
              <w:pBdr>
                <w:top w:val="nil"/>
                <w:left w:val="nil"/>
                <w:bottom w:val="nil"/>
                <w:right w:val="nil"/>
                <w:between w:val="nil"/>
              </w:pBdr>
              <w:spacing w:line="240" w:lineRule="auto"/>
              <w:contextualSpacing w:val="0"/>
              <w:jc w:val="center"/>
              <w:rPr>
                <w:color w:val="205968"/>
                <w:sz w:val="18"/>
                <w:szCs w:val="18"/>
              </w:rPr>
            </w:pPr>
            <w:r>
              <w:rPr>
                <w:color w:val="205968"/>
                <w:sz w:val="18"/>
                <w:szCs w:val="18"/>
              </w:rPr>
              <w:t>07/09/2018</w:t>
            </w:r>
          </w:p>
        </w:tc>
        <w:tc>
          <w:tcPr>
            <w:tcW w:w="1276" w:type="dxa"/>
            <w:shd w:val="clear" w:color="auto" w:fill="93CDDC"/>
            <w:tcMar>
              <w:top w:w="100" w:type="dxa"/>
              <w:left w:w="100" w:type="dxa"/>
              <w:bottom w:w="100" w:type="dxa"/>
              <w:right w:w="100" w:type="dxa"/>
            </w:tcMar>
            <w:vAlign w:val="center"/>
          </w:tcPr>
          <w:p w14:paraId="5DDBA3F3" w14:textId="505FC106" w:rsidR="003435DC" w:rsidRDefault="003435DC" w:rsidP="003435DC">
            <w:pPr>
              <w:widowControl w:val="0"/>
              <w:pBdr>
                <w:top w:val="nil"/>
                <w:left w:val="nil"/>
                <w:bottom w:val="nil"/>
                <w:right w:val="nil"/>
                <w:between w:val="nil"/>
              </w:pBdr>
              <w:spacing w:line="240" w:lineRule="auto"/>
              <w:contextualSpacing w:val="0"/>
              <w:jc w:val="center"/>
              <w:rPr>
                <w:color w:val="205968"/>
                <w:sz w:val="18"/>
                <w:szCs w:val="18"/>
              </w:rPr>
            </w:pPr>
            <w:r>
              <w:rPr>
                <w:color w:val="205968"/>
                <w:sz w:val="18"/>
                <w:szCs w:val="18"/>
              </w:rPr>
              <w:t>Incompleta</w:t>
            </w:r>
          </w:p>
        </w:tc>
        <w:tc>
          <w:tcPr>
            <w:tcW w:w="6662" w:type="dxa"/>
            <w:shd w:val="clear" w:color="auto" w:fill="B7DDE8"/>
            <w:tcMar>
              <w:top w:w="100" w:type="dxa"/>
              <w:left w:w="100" w:type="dxa"/>
              <w:bottom w:w="100" w:type="dxa"/>
              <w:right w:w="100" w:type="dxa"/>
            </w:tcMar>
            <w:vAlign w:val="center"/>
          </w:tcPr>
          <w:p w14:paraId="4E2D7EB6" w14:textId="047CEF9B" w:rsidR="003435DC" w:rsidRDefault="003435DC" w:rsidP="003435DC">
            <w:pPr>
              <w:widowControl w:val="0"/>
              <w:pBdr>
                <w:top w:val="nil"/>
                <w:left w:val="nil"/>
                <w:bottom w:val="nil"/>
                <w:right w:val="nil"/>
                <w:between w:val="nil"/>
              </w:pBdr>
              <w:spacing w:line="240" w:lineRule="auto"/>
              <w:contextualSpacing w:val="0"/>
              <w:rPr>
                <w:color w:val="205968"/>
                <w:sz w:val="18"/>
                <w:szCs w:val="18"/>
              </w:rPr>
            </w:pPr>
            <w:r>
              <w:rPr>
                <w:color w:val="205968"/>
                <w:sz w:val="18"/>
                <w:szCs w:val="18"/>
              </w:rPr>
              <w:t xml:space="preserve">Se analizó en la sección anterior. </w:t>
            </w:r>
          </w:p>
        </w:tc>
      </w:tr>
    </w:tbl>
    <w:p w14:paraId="55ADD019" w14:textId="77777777" w:rsidR="008A34AE" w:rsidRDefault="00F35562">
      <w:pPr>
        <w:contextualSpacing w:val="0"/>
        <w:rPr>
          <w:color w:val="1155CC"/>
          <w:sz w:val="16"/>
          <w:szCs w:val="16"/>
          <w:highlight w:val="white"/>
          <w:u w:val="single"/>
        </w:rPr>
      </w:pPr>
      <w:r>
        <w:rPr>
          <w:b/>
          <w:color w:val="595959"/>
          <w:sz w:val="16"/>
          <w:szCs w:val="16"/>
          <w:highlight w:val="white"/>
        </w:rPr>
        <w:t>Fuente:</w:t>
      </w:r>
      <w:r>
        <w:rPr>
          <w:color w:val="595959"/>
          <w:sz w:val="16"/>
          <w:szCs w:val="16"/>
          <w:highlight w:val="white"/>
        </w:rPr>
        <w:t xml:space="preserve"> Elaboración propia con información del micrositio FM-TP, consultada del 3 al 7 de septiembre de 2018, y disponible en: </w:t>
      </w:r>
      <w:hyperlink r:id="rId11">
        <w:r>
          <w:rPr>
            <w:color w:val="1155CC"/>
            <w:sz w:val="16"/>
            <w:szCs w:val="16"/>
            <w:highlight w:val="white"/>
            <w:u w:val="single"/>
          </w:rPr>
          <w:t>http://www.transparenciapresupuestaria.gob.mx/es/PTP/fuerzamexico</w:t>
        </w:r>
      </w:hyperlink>
      <w:r w:rsidR="007F67F0">
        <w:rPr>
          <w:color w:val="1155CC"/>
          <w:sz w:val="16"/>
          <w:szCs w:val="16"/>
          <w:highlight w:val="white"/>
          <w:u w:val="single"/>
        </w:rPr>
        <w:t>.</w:t>
      </w:r>
    </w:p>
    <w:p w14:paraId="081523FB" w14:textId="77777777" w:rsidR="008A34AE" w:rsidRDefault="008A34AE">
      <w:pPr>
        <w:contextualSpacing w:val="0"/>
        <w:jc w:val="both"/>
        <w:rPr>
          <w:color w:val="1155CC"/>
          <w:sz w:val="16"/>
          <w:szCs w:val="16"/>
          <w:highlight w:val="white"/>
          <w:u w:val="single"/>
        </w:rPr>
      </w:pPr>
    </w:p>
    <w:p w14:paraId="2E11FFF1" w14:textId="77777777" w:rsidR="008A34AE" w:rsidRDefault="008A34AE">
      <w:pPr>
        <w:contextualSpacing w:val="0"/>
        <w:jc w:val="both"/>
        <w:rPr>
          <w:color w:val="1155CC"/>
          <w:sz w:val="16"/>
          <w:szCs w:val="16"/>
          <w:highlight w:val="white"/>
          <w:u w:val="single"/>
        </w:rPr>
      </w:pPr>
    </w:p>
    <w:p w14:paraId="03949D64" w14:textId="77777777" w:rsidR="008A34AE" w:rsidRDefault="008A34AE">
      <w:pPr>
        <w:contextualSpacing w:val="0"/>
        <w:jc w:val="both"/>
        <w:rPr>
          <w:color w:val="1155CC"/>
          <w:sz w:val="16"/>
          <w:szCs w:val="16"/>
          <w:highlight w:val="white"/>
          <w:u w:val="single"/>
        </w:rPr>
      </w:pPr>
    </w:p>
    <w:p w14:paraId="7766BAD3" w14:textId="77777777" w:rsidR="008A34AE" w:rsidRDefault="008A34AE">
      <w:pPr>
        <w:contextualSpacing w:val="0"/>
        <w:jc w:val="both"/>
        <w:rPr>
          <w:color w:val="1155CC"/>
          <w:sz w:val="16"/>
          <w:szCs w:val="16"/>
          <w:highlight w:val="white"/>
          <w:u w:val="single"/>
        </w:rPr>
      </w:pPr>
    </w:p>
    <w:p w14:paraId="3B1A2504" w14:textId="77777777" w:rsidR="008A34AE" w:rsidRDefault="008A34AE">
      <w:pPr>
        <w:contextualSpacing w:val="0"/>
        <w:jc w:val="both"/>
        <w:rPr>
          <w:color w:val="1155CC"/>
          <w:sz w:val="16"/>
          <w:szCs w:val="16"/>
          <w:highlight w:val="white"/>
          <w:u w:val="single"/>
        </w:rPr>
      </w:pPr>
    </w:p>
    <w:p w14:paraId="750AE7BC" w14:textId="77777777" w:rsidR="008A34AE" w:rsidRDefault="008A34AE">
      <w:pPr>
        <w:contextualSpacing w:val="0"/>
        <w:jc w:val="both"/>
        <w:rPr>
          <w:color w:val="1155CC"/>
          <w:sz w:val="16"/>
          <w:szCs w:val="16"/>
          <w:highlight w:val="white"/>
          <w:u w:val="single"/>
        </w:rPr>
      </w:pPr>
    </w:p>
    <w:p w14:paraId="3E691CF8" w14:textId="77777777" w:rsidR="008A34AE" w:rsidRDefault="008A34AE">
      <w:pPr>
        <w:widowControl w:val="0"/>
        <w:pBdr>
          <w:top w:val="nil"/>
          <w:left w:val="nil"/>
          <w:bottom w:val="nil"/>
          <w:right w:val="nil"/>
          <w:between w:val="nil"/>
        </w:pBdr>
        <w:contextualSpacing w:val="0"/>
        <w:rPr>
          <w:color w:val="FF0000"/>
          <w:highlight w:val="green"/>
        </w:rPr>
        <w:sectPr w:rsidR="008A34AE" w:rsidSect="00F35562">
          <w:pgSz w:w="16834" w:h="11909" w:orient="landscape"/>
          <w:pgMar w:top="1440" w:right="1440" w:bottom="1440" w:left="1440" w:header="0" w:footer="720" w:gutter="0"/>
          <w:cols w:space="720"/>
          <w:docGrid w:linePitch="299"/>
        </w:sectPr>
      </w:pPr>
    </w:p>
    <w:p w14:paraId="618931BB" w14:textId="77777777" w:rsidR="008A34AE" w:rsidRPr="000951BC" w:rsidRDefault="00F35562" w:rsidP="00F80677">
      <w:pPr>
        <w:pStyle w:val="Ttulo1"/>
      </w:pPr>
      <w:bookmarkStart w:id="8" w:name="_Toc524361286"/>
      <w:r w:rsidRPr="000951BC">
        <w:lastRenderedPageBreak/>
        <w:t>Volumen de recursos públicos versus recursos privados para la atención de la emergencia y la reconstrucción después de los sismos</w:t>
      </w:r>
      <w:bookmarkEnd w:id="8"/>
    </w:p>
    <w:p w14:paraId="6745B264" w14:textId="77777777" w:rsidR="008A34AE" w:rsidRDefault="00F35562">
      <w:pPr>
        <w:contextualSpacing w:val="0"/>
        <w:jc w:val="both"/>
        <w:rPr>
          <w:color w:val="595959"/>
        </w:rPr>
      </w:pPr>
      <w:r>
        <w:rPr>
          <w:color w:val="595959"/>
        </w:rPr>
        <w:t xml:space="preserve">La </w:t>
      </w:r>
      <w:r>
        <w:rPr>
          <w:color w:val="595959"/>
          <w:sz w:val="20"/>
          <w:szCs w:val="20"/>
        </w:rPr>
        <w:t>SHCP</w:t>
      </w:r>
      <w:r>
        <w:rPr>
          <w:color w:val="595959"/>
        </w:rPr>
        <w:t xml:space="preserve"> recabó información oficial de los recursos públicos y privados, tanto para la emergencia como la para la reconstrucción, y se dieron a conocer mediante dos fuentes de información: el portal </w:t>
      </w:r>
      <w:r>
        <w:rPr>
          <w:color w:val="595959"/>
          <w:sz w:val="20"/>
          <w:szCs w:val="20"/>
        </w:rPr>
        <w:t>FM-TP</w:t>
      </w:r>
      <w:r>
        <w:rPr>
          <w:color w:val="595959"/>
        </w:rPr>
        <w:t xml:space="preserve"> y los </w:t>
      </w:r>
      <w:r>
        <w:rPr>
          <w:i/>
          <w:color w:val="595959"/>
        </w:rPr>
        <w:t>Informes de transparencia relacionados con donativos recibidos por los sismos ocurridos en México durante septiembre de 2017</w:t>
      </w:r>
      <w:r>
        <w:rPr>
          <w:color w:val="595959"/>
          <w:vertAlign w:val="superscript"/>
        </w:rPr>
        <w:footnoteReference w:id="5"/>
      </w:r>
      <w:r>
        <w:rPr>
          <w:color w:val="595959"/>
        </w:rPr>
        <w:t xml:space="preserve">. </w:t>
      </w:r>
    </w:p>
    <w:p w14:paraId="77D98FE6" w14:textId="0C6EB459" w:rsidR="008A34AE" w:rsidRPr="00C65FBA" w:rsidRDefault="00F35562">
      <w:pPr>
        <w:ind w:firstLine="720"/>
        <w:contextualSpacing w:val="0"/>
        <w:jc w:val="both"/>
        <w:rPr>
          <w:color w:val="595959" w:themeColor="text1" w:themeTint="A6"/>
        </w:rPr>
      </w:pPr>
      <w:r w:rsidRPr="00C65FBA">
        <w:rPr>
          <w:color w:val="595959" w:themeColor="text1" w:themeTint="A6"/>
        </w:rPr>
        <w:t xml:space="preserve">A partir de la información analizada, no es posible conocer </w:t>
      </w:r>
      <w:r w:rsidR="0028709C" w:rsidRPr="00C65FBA">
        <w:rPr>
          <w:color w:val="595959" w:themeColor="text1" w:themeTint="A6"/>
        </w:rPr>
        <w:t xml:space="preserve">el origen y destino de </w:t>
      </w:r>
      <w:r w:rsidRPr="00C65FBA">
        <w:rPr>
          <w:color w:val="595959" w:themeColor="text1" w:themeTint="A6"/>
        </w:rPr>
        <w:t>todas las aportaciones y donaciones</w:t>
      </w:r>
      <w:r w:rsidR="00C65FBA" w:rsidRPr="00C65FBA">
        <w:rPr>
          <w:color w:val="595959" w:themeColor="text1" w:themeTint="A6"/>
        </w:rPr>
        <w:t>; esto, dado q</w:t>
      </w:r>
      <w:r w:rsidR="0028709C" w:rsidRPr="00C65FBA">
        <w:rPr>
          <w:color w:val="595959" w:themeColor="text1" w:themeTint="A6"/>
        </w:rPr>
        <w:t xml:space="preserve">ue no existe una </w:t>
      </w:r>
      <w:r w:rsidRPr="00C65FBA">
        <w:rPr>
          <w:color w:val="595959" w:themeColor="text1" w:themeTint="A6"/>
        </w:rPr>
        <w:t>plataforma que concentre los datos completos de todos los recursos</w:t>
      </w:r>
      <w:r w:rsidR="0028709C" w:rsidRPr="00C65FBA">
        <w:rPr>
          <w:color w:val="595959" w:themeColor="text1" w:themeTint="A6"/>
        </w:rPr>
        <w:t xml:space="preserve"> públicos y privados</w:t>
      </w:r>
      <w:r w:rsidRPr="00C65FBA">
        <w:rPr>
          <w:color w:val="595959" w:themeColor="text1" w:themeTint="A6"/>
        </w:rPr>
        <w:t xml:space="preserve">; además, la heterogeneidad de las prácticas de transparencia y rendición de cuentas impide el conocimiento y el seguimiento de estos. Esto ocurre en todas las entidades y dependencias tanto públicas como privadas. </w:t>
      </w:r>
    </w:p>
    <w:p w14:paraId="70726822" w14:textId="42F367A6" w:rsidR="008A34AE" w:rsidRDefault="00F35562">
      <w:pPr>
        <w:ind w:firstLine="720"/>
        <w:contextualSpacing w:val="0"/>
        <w:jc w:val="both"/>
        <w:rPr>
          <w:color w:val="595959"/>
        </w:rPr>
      </w:pPr>
      <w:r>
        <w:rPr>
          <w:color w:val="595959"/>
        </w:rPr>
        <w:t>Por otro lado, dado que existieron donativos que fueron entregados a ciertos grupos de base o iniciativas ciudadanas que no están registradas como donatarias o fideicomisos autorizados, se agravó la opacidad</w:t>
      </w:r>
      <w:r w:rsidR="00E572B4">
        <w:rPr>
          <w:color w:val="595959"/>
        </w:rPr>
        <w:t>,</w:t>
      </w:r>
      <w:r>
        <w:rPr>
          <w:color w:val="595959"/>
        </w:rPr>
        <w:t xml:space="preserve"> porque no hay una obligación formal, ni procedimientos estandarizados, para dar a conocer información. Y lo mismo ocurre con los fondos y fideicomisos estatales y locales que se crearon, o con los créditos y los bonos que se otorgaron. No es pública la información. </w:t>
      </w:r>
    </w:p>
    <w:p w14:paraId="7011CAAC" w14:textId="77777777" w:rsidR="008A34AE" w:rsidRDefault="00F35562">
      <w:pPr>
        <w:ind w:firstLine="720"/>
        <w:contextualSpacing w:val="0"/>
        <w:jc w:val="both"/>
        <w:rPr>
          <w:color w:val="595959"/>
        </w:rPr>
      </w:pPr>
      <w:r>
        <w:rPr>
          <w:color w:val="595959"/>
        </w:rPr>
        <w:t xml:space="preserve">La figura 1 muestra el volumen de los recursos públicos y privados que se asignaron o recaudaron por los sismos de 2017, a partir de los datos que dio a conocer la </w:t>
      </w:r>
      <w:r>
        <w:rPr>
          <w:color w:val="595959"/>
          <w:sz w:val="20"/>
          <w:szCs w:val="20"/>
        </w:rPr>
        <w:t>SHCP</w:t>
      </w:r>
      <w:r>
        <w:rPr>
          <w:color w:val="595959"/>
        </w:rPr>
        <w:t xml:space="preserve">. Es importante indicar que esta gráfica no pretende ser exhaustiva, únicamente muestra el tamaño y la diferencia entre recursos públicos y privados. </w:t>
      </w:r>
    </w:p>
    <w:p w14:paraId="75991F18" w14:textId="77777777" w:rsidR="008A34AE" w:rsidRDefault="00E572B4">
      <w:pPr>
        <w:ind w:firstLine="720"/>
        <w:contextualSpacing w:val="0"/>
        <w:jc w:val="both"/>
        <w:rPr>
          <w:color w:val="595959"/>
        </w:rPr>
      </w:pPr>
      <w:r>
        <w:rPr>
          <w:color w:val="595959"/>
        </w:rPr>
        <w:t>De tal forma</w:t>
      </w:r>
      <w:r w:rsidR="00F35562">
        <w:rPr>
          <w:color w:val="595959"/>
        </w:rPr>
        <w:t xml:space="preserve">, por una parte, están los recursos autorizados del </w:t>
      </w:r>
      <w:r w:rsidR="00F35562">
        <w:rPr>
          <w:color w:val="595959"/>
          <w:sz w:val="20"/>
          <w:szCs w:val="20"/>
        </w:rPr>
        <w:t>FONDEN</w:t>
      </w:r>
      <w:r w:rsidR="00F35562">
        <w:rPr>
          <w:color w:val="595959"/>
        </w:rPr>
        <w:t xml:space="preserve"> y las aportaciones extraordinarias de recursos públicos otorgadas por otros actores públicos. En el otro círculo se encuentran los recursos privados reflejados en el valor monetario de donativos reportados por las donatarias y fideicomisos autorizados por la </w:t>
      </w:r>
      <w:r w:rsidR="00F35562">
        <w:rPr>
          <w:color w:val="595959"/>
          <w:sz w:val="20"/>
          <w:szCs w:val="20"/>
        </w:rPr>
        <w:t>SHCP</w:t>
      </w:r>
      <w:r w:rsidR="00F35562">
        <w:rPr>
          <w:color w:val="595959"/>
        </w:rPr>
        <w:t xml:space="preserve">. </w:t>
      </w:r>
    </w:p>
    <w:p w14:paraId="0E4ACA3E" w14:textId="77777777" w:rsidR="008A34AE" w:rsidRDefault="008A34AE" w:rsidP="000951BC">
      <w:pPr>
        <w:contextualSpacing w:val="0"/>
        <w:rPr>
          <w:b/>
          <w:color w:val="595959"/>
        </w:rPr>
      </w:pPr>
    </w:p>
    <w:p w14:paraId="663D5D00" w14:textId="77777777" w:rsidR="008A34AE" w:rsidRDefault="00F35562">
      <w:pPr>
        <w:contextualSpacing w:val="0"/>
        <w:jc w:val="center"/>
        <w:rPr>
          <w:b/>
          <w:color w:val="595959"/>
        </w:rPr>
      </w:pPr>
      <w:r>
        <w:rPr>
          <w:b/>
          <w:color w:val="595959"/>
        </w:rPr>
        <w:t xml:space="preserve">Figura 1. Volumen de los recursos públicos y privados dados a conocer por la SHCP después de los sismos de 2017 </w:t>
      </w:r>
    </w:p>
    <w:p w14:paraId="5B25B6D8" w14:textId="44C143CC" w:rsidR="008A34AE" w:rsidRDefault="005D1802">
      <w:pPr>
        <w:contextualSpacing w:val="0"/>
        <w:jc w:val="center"/>
        <w:rPr>
          <w:b/>
          <w:color w:val="595959"/>
        </w:rPr>
      </w:pPr>
      <w:r>
        <w:rPr>
          <w:b/>
          <w:noProof/>
          <w:color w:val="595959"/>
          <w:lang w:val="es-ES" w:eastAsia="es-ES"/>
        </w:rPr>
        <w:drawing>
          <wp:inline distT="0" distB="0" distL="0" distR="0" wp14:anchorId="06B299BA" wp14:editId="15423D13">
            <wp:extent cx="4619708" cy="224980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50188" cy="2264649"/>
                    </a:xfrm>
                    <a:prstGeom prst="rect">
                      <a:avLst/>
                    </a:prstGeom>
                    <a:noFill/>
                  </pic:spPr>
                </pic:pic>
              </a:graphicData>
            </a:graphic>
          </wp:inline>
        </w:drawing>
      </w:r>
    </w:p>
    <w:p w14:paraId="50E4613F" w14:textId="77777777" w:rsidR="008A34AE" w:rsidRDefault="00F35562" w:rsidP="000951BC">
      <w:pPr>
        <w:contextualSpacing w:val="0"/>
        <w:rPr>
          <w:color w:val="666666"/>
          <w:sz w:val="16"/>
          <w:szCs w:val="16"/>
        </w:rPr>
      </w:pPr>
      <w:r>
        <w:rPr>
          <w:b/>
          <w:color w:val="666666"/>
          <w:sz w:val="16"/>
          <w:szCs w:val="16"/>
        </w:rPr>
        <w:lastRenderedPageBreak/>
        <w:t>Fuente:</w:t>
      </w:r>
      <w:r>
        <w:rPr>
          <w:color w:val="666666"/>
          <w:sz w:val="16"/>
          <w:szCs w:val="16"/>
        </w:rPr>
        <w:t xml:space="preserve"> Elaboración propia con base en información oficial del portal Fuerza México y de los informes de transparencia de donatarias autorizadas de la SHCP.</w:t>
      </w:r>
    </w:p>
    <w:p w14:paraId="6473937D" w14:textId="77777777" w:rsidR="00F80677" w:rsidRPr="000951BC" w:rsidRDefault="00F80677" w:rsidP="000951BC">
      <w:pPr>
        <w:contextualSpacing w:val="0"/>
        <w:rPr>
          <w:color w:val="666666"/>
          <w:sz w:val="16"/>
          <w:szCs w:val="16"/>
        </w:rPr>
      </w:pPr>
    </w:p>
    <w:p w14:paraId="40EE07F0" w14:textId="77777777" w:rsidR="008A34AE" w:rsidRDefault="00F35562">
      <w:pPr>
        <w:ind w:firstLine="720"/>
        <w:contextualSpacing w:val="0"/>
        <w:jc w:val="both"/>
        <w:rPr>
          <w:color w:val="595959"/>
        </w:rPr>
      </w:pPr>
      <w:r w:rsidRPr="000E0028">
        <w:rPr>
          <w:color w:val="595959"/>
        </w:rPr>
        <w:t>Como se puede observar, los</w:t>
      </w:r>
      <w:r>
        <w:rPr>
          <w:color w:val="595959"/>
        </w:rPr>
        <w:t xml:space="preserve"> recursos públicos tan s</w:t>
      </w:r>
      <w:r w:rsidR="00C36D6D">
        <w:rPr>
          <w:color w:val="595959"/>
        </w:rPr>
        <w:t>o</w:t>
      </w:r>
      <w:r>
        <w:rPr>
          <w:color w:val="595959"/>
        </w:rPr>
        <w:t xml:space="preserve">lo autorizados para el </w:t>
      </w:r>
      <w:r>
        <w:rPr>
          <w:color w:val="595959"/>
          <w:sz w:val="20"/>
          <w:szCs w:val="20"/>
        </w:rPr>
        <w:t>FONDEN</w:t>
      </w:r>
      <w:r>
        <w:rPr>
          <w:color w:val="595959"/>
        </w:rPr>
        <w:t xml:space="preserve"> son casi diez veces más que el valor monetario de donativos privados reportados por donatarias y fideicomisos. Esto resalta la importancia, como se ha enfatizado en secciones anteriores, de </w:t>
      </w:r>
      <w:r w:rsidR="00D062B3">
        <w:rPr>
          <w:color w:val="595959"/>
        </w:rPr>
        <w:t xml:space="preserve">fomentar una </w:t>
      </w:r>
      <w:r>
        <w:rPr>
          <w:color w:val="595959"/>
        </w:rPr>
        <w:t xml:space="preserve">mayor transparencia y rendición de cuentas para que los recursos públicos cumplan con las obligaciones que establece la legislación mexicana. </w:t>
      </w:r>
    </w:p>
    <w:p w14:paraId="06B360C0" w14:textId="77777777" w:rsidR="008A34AE" w:rsidRPr="00F80677" w:rsidRDefault="00F35562" w:rsidP="00F80677">
      <w:pPr>
        <w:ind w:firstLine="720"/>
        <w:contextualSpacing w:val="0"/>
        <w:jc w:val="both"/>
        <w:rPr>
          <w:b/>
          <w:color w:val="595959"/>
        </w:rPr>
      </w:pPr>
      <w:r>
        <w:rPr>
          <w:color w:val="595959"/>
        </w:rPr>
        <w:t>Asimismo, también es necesario crear mayores y mejores mecanismos de transparencia y rendición de cuentas para el sector privado en general. En las siguientes secciones se detallan las aportaciones extraordinarias por parte de actores públicos y el valor monetario de donativos privados.</w:t>
      </w:r>
    </w:p>
    <w:p w14:paraId="2A936212" w14:textId="77777777" w:rsidR="008A34AE" w:rsidRDefault="00F35562" w:rsidP="00F80677">
      <w:pPr>
        <w:pStyle w:val="Ttulo2"/>
      </w:pPr>
      <w:bookmarkStart w:id="9" w:name="_Toc524361287"/>
      <w:r>
        <w:t>Aportaciones extraordinarias por parte de actores públicos</w:t>
      </w:r>
      <w:bookmarkEnd w:id="9"/>
    </w:p>
    <w:p w14:paraId="7326087B" w14:textId="77777777" w:rsidR="008A34AE" w:rsidRDefault="00F35562">
      <w:pPr>
        <w:contextualSpacing w:val="0"/>
        <w:jc w:val="both"/>
        <w:rPr>
          <w:color w:val="595959"/>
        </w:rPr>
      </w:pPr>
      <w:r>
        <w:rPr>
          <w:color w:val="595959"/>
        </w:rPr>
        <w:t xml:space="preserve">Adicionalmente a los recursos públicos autorizados del </w:t>
      </w:r>
      <w:r>
        <w:rPr>
          <w:color w:val="595959"/>
          <w:sz w:val="20"/>
          <w:szCs w:val="20"/>
        </w:rPr>
        <w:t>FONDEN</w:t>
      </w:r>
      <w:r>
        <w:rPr>
          <w:color w:val="595959"/>
        </w:rPr>
        <w:t>, existieron aportaciones extraordinarias por parte de distintos organismos públicos</w:t>
      </w:r>
      <w:r>
        <w:rPr>
          <w:color w:val="595959"/>
          <w:vertAlign w:val="superscript"/>
        </w:rPr>
        <w:footnoteReference w:id="6"/>
      </w:r>
      <w:r>
        <w:rPr>
          <w:color w:val="595959"/>
        </w:rPr>
        <w:t xml:space="preserve">. Al respecto, el portal </w:t>
      </w:r>
      <w:r>
        <w:rPr>
          <w:color w:val="595959"/>
          <w:sz w:val="20"/>
          <w:szCs w:val="20"/>
        </w:rPr>
        <w:t>FM-TP</w:t>
      </w:r>
      <w:r>
        <w:rPr>
          <w:color w:val="595959"/>
        </w:rPr>
        <w:t xml:space="preserve"> señala que las aportaciones extraordinarias se destinaron de la siguiente forma:  $2,412,648,995.5 pesos para el </w:t>
      </w:r>
      <w:r>
        <w:rPr>
          <w:color w:val="595959"/>
          <w:sz w:val="20"/>
          <w:szCs w:val="20"/>
        </w:rPr>
        <w:t>FONDEN</w:t>
      </w:r>
      <w:r>
        <w:rPr>
          <w:color w:val="595959"/>
        </w:rPr>
        <w:t xml:space="preserve"> y $279,383,366.6 pesos para el Fondo de Reconstrucción para Entidades Federativas </w:t>
      </w:r>
      <w:r>
        <w:rPr>
          <w:color w:val="595959"/>
          <w:sz w:val="20"/>
          <w:szCs w:val="20"/>
        </w:rPr>
        <w:t>(FONREC)</w:t>
      </w:r>
      <w:r>
        <w:rPr>
          <w:color w:val="595959"/>
        </w:rPr>
        <w:t xml:space="preserve">. La tabla 7 ofrece información desglosada de lo que aparece en el micrositio </w:t>
      </w:r>
      <w:r>
        <w:rPr>
          <w:color w:val="595959"/>
          <w:sz w:val="20"/>
          <w:szCs w:val="20"/>
        </w:rPr>
        <w:t>FM-TP</w:t>
      </w:r>
      <w:r>
        <w:rPr>
          <w:color w:val="595959"/>
        </w:rPr>
        <w:t>.</w:t>
      </w:r>
    </w:p>
    <w:p w14:paraId="15203C84" w14:textId="77777777" w:rsidR="000951BC" w:rsidRDefault="000951BC">
      <w:pPr>
        <w:contextualSpacing w:val="0"/>
        <w:jc w:val="both"/>
        <w:rPr>
          <w:color w:val="595959"/>
        </w:rPr>
      </w:pPr>
    </w:p>
    <w:p w14:paraId="10BE41BD" w14:textId="77777777" w:rsidR="008A34AE" w:rsidRDefault="00F35562">
      <w:pPr>
        <w:contextualSpacing w:val="0"/>
        <w:jc w:val="center"/>
        <w:rPr>
          <w:b/>
          <w:color w:val="595959"/>
          <w:highlight w:val="white"/>
        </w:rPr>
      </w:pPr>
      <w:r>
        <w:rPr>
          <w:b/>
          <w:color w:val="595959"/>
          <w:highlight w:val="white"/>
        </w:rPr>
        <w:t xml:space="preserve">Tabla </w:t>
      </w:r>
      <w:r>
        <w:rPr>
          <w:b/>
          <w:color w:val="595959"/>
        </w:rPr>
        <w:t xml:space="preserve">7. </w:t>
      </w:r>
      <w:r>
        <w:rPr>
          <w:b/>
          <w:color w:val="595959"/>
          <w:highlight w:val="white"/>
        </w:rPr>
        <w:t>Aportaciones extraordinarias y destino de estas</w:t>
      </w:r>
    </w:p>
    <w:tbl>
      <w:tblPr>
        <w:tblStyle w:val="a5"/>
        <w:tblW w:w="897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170"/>
        <w:gridCol w:w="2370"/>
        <w:gridCol w:w="2430"/>
      </w:tblGrid>
      <w:tr w:rsidR="008A34AE" w14:paraId="04A76AD8" w14:textId="77777777" w:rsidTr="000951BC">
        <w:trPr>
          <w:trHeight w:val="500"/>
          <w:tblHeader/>
        </w:trPr>
        <w:tc>
          <w:tcPr>
            <w:tcW w:w="4170" w:type="dxa"/>
            <w:shd w:val="clear" w:color="auto" w:fill="205968"/>
            <w:tcMar>
              <w:top w:w="100" w:type="dxa"/>
              <w:left w:w="100" w:type="dxa"/>
              <w:bottom w:w="100" w:type="dxa"/>
              <w:right w:w="100" w:type="dxa"/>
            </w:tcMar>
            <w:vAlign w:val="center"/>
          </w:tcPr>
          <w:p w14:paraId="6DECA276" w14:textId="77777777" w:rsidR="008A34AE" w:rsidRDefault="00F35562">
            <w:pPr>
              <w:widowControl w:val="0"/>
              <w:pBdr>
                <w:top w:val="nil"/>
                <w:left w:val="nil"/>
                <w:bottom w:val="nil"/>
                <w:right w:val="nil"/>
                <w:between w:val="nil"/>
              </w:pBdr>
              <w:contextualSpacing w:val="0"/>
              <w:jc w:val="center"/>
              <w:rPr>
                <w:b/>
                <w:color w:val="FFFFFF"/>
                <w:sz w:val="20"/>
                <w:szCs w:val="20"/>
              </w:rPr>
            </w:pPr>
            <w:r>
              <w:rPr>
                <w:b/>
                <w:color w:val="FFFFFF"/>
                <w:sz w:val="20"/>
                <w:szCs w:val="20"/>
              </w:rPr>
              <w:t>Organismos públicos</w:t>
            </w:r>
          </w:p>
        </w:tc>
        <w:tc>
          <w:tcPr>
            <w:tcW w:w="2370" w:type="dxa"/>
            <w:shd w:val="clear" w:color="auto" w:fill="205968"/>
            <w:tcMar>
              <w:top w:w="100" w:type="dxa"/>
              <w:left w:w="100" w:type="dxa"/>
              <w:bottom w:w="100" w:type="dxa"/>
              <w:right w:w="100" w:type="dxa"/>
            </w:tcMar>
            <w:vAlign w:val="center"/>
          </w:tcPr>
          <w:p w14:paraId="2A21688D" w14:textId="77777777" w:rsidR="008A34AE" w:rsidRDefault="00F35562">
            <w:pPr>
              <w:widowControl w:val="0"/>
              <w:pBdr>
                <w:top w:val="nil"/>
                <w:left w:val="nil"/>
                <w:bottom w:val="nil"/>
                <w:right w:val="nil"/>
                <w:between w:val="nil"/>
              </w:pBdr>
              <w:contextualSpacing w:val="0"/>
              <w:jc w:val="center"/>
              <w:rPr>
                <w:b/>
                <w:color w:val="FFFFFF"/>
                <w:sz w:val="20"/>
                <w:szCs w:val="20"/>
              </w:rPr>
            </w:pPr>
            <w:r>
              <w:rPr>
                <w:b/>
                <w:color w:val="FFFFFF"/>
                <w:sz w:val="20"/>
                <w:szCs w:val="20"/>
              </w:rPr>
              <w:t>Monto</w:t>
            </w:r>
          </w:p>
          <w:p w14:paraId="5EB4C169" w14:textId="77777777" w:rsidR="008A34AE" w:rsidRDefault="00F35562">
            <w:pPr>
              <w:widowControl w:val="0"/>
              <w:pBdr>
                <w:top w:val="nil"/>
                <w:left w:val="nil"/>
                <w:bottom w:val="nil"/>
                <w:right w:val="nil"/>
                <w:between w:val="nil"/>
              </w:pBdr>
              <w:contextualSpacing w:val="0"/>
              <w:jc w:val="center"/>
              <w:rPr>
                <w:b/>
                <w:color w:val="FFFFFF"/>
                <w:sz w:val="20"/>
                <w:szCs w:val="20"/>
              </w:rPr>
            </w:pPr>
            <w:r>
              <w:rPr>
                <w:b/>
                <w:color w:val="FFFFFF"/>
                <w:sz w:val="20"/>
                <w:szCs w:val="20"/>
              </w:rPr>
              <w:t>(pesos)</w:t>
            </w:r>
          </w:p>
        </w:tc>
        <w:tc>
          <w:tcPr>
            <w:tcW w:w="2430" w:type="dxa"/>
            <w:shd w:val="clear" w:color="auto" w:fill="205968"/>
            <w:tcMar>
              <w:top w:w="100" w:type="dxa"/>
              <w:left w:w="100" w:type="dxa"/>
              <w:bottom w:w="100" w:type="dxa"/>
              <w:right w:w="100" w:type="dxa"/>
            </w:tcMar>
            <w:vAlign w:val="center"/>
          </w:tcPr>
          <w:p w14:paraId="576CD154" w14:textId="77777777" w:rsidR="008A34AE" w:rsidRDefault="00F35562">
            <w:pPr>
              <w:widowControl w:val="0"/>
              <w:pBdr>
                <w:top w:val="nil"/>
                <w:left w:val="nil"/>
                <w:bottom w:val="nil"/>
                <w:right w:val="nil"/>
                <w:between w:val="nil"/>
              </w:pBdr>
              <w:ind w:right="-675"/>
              <w:contextualSpacing w:val="0"/>
              <w:jc w:val="center"/>
              <w:rPr>
                <w:b/>
                <w:color w:val="FFFFFF"/>
                <w:sz w:val="20"/>
                <w:szCs w:val="20"/>
              </w:rPr>
            </w:pPr>
            <w:r>
              <w:rPr>
                <w:b/>
                <w:color w:val="FFFFFF"/>
                <w:sz w:val="20"/>
                <w:szCs w:val="20"/>
              </w:rPr>
              <w:t>Destino</w:t>
            </w:r>
          </w:p>
        </w:tc>
      </w:tr>
      <w:tr w:rsidR="008A34AE" w14:paraId="4D7E9169" w14:textId="77777777">
        <w:trPr>
          <w:trHeight w:val="500"/>
        </w:trPr>
        <w:tc>
          <w:tcPr>
            <w:tcW w:w="4170" w:type="dxa"/>
            <w:shd w:val="clear" w:color="auto" w:fill="31849B"/>
            <w:tcMar>
              <w:top w:w="100" w:type="dxa"/>
              <w:left w:w="100" w:type="dxa"/>
              <w:bottom w:w="100" w:type="dxa"/>
              <w:right w:w="100" w:type="dxa"/>
            </w:tcMar>
          </w:tcPr>
          <w:p w14:paraId="25BAA674" w14:textId="77777777" w:rsidR="008A34AE" w:rsidRDefault="00F35562">
            <w:pPr>
              <w:widowControl w:val="0"/>
              <w:pBdr>
                <w:top w:val="nil"/>
                <w:left w:val="nil"/>
                <w:bottom w:val="nil"/>
                <w:right w:val="nil"/>
                <w:between w:val="nil"/>
              </w:pBdr>
              <w:contextualSpacing w:val="0"/>
              <w:rPr>
                <w:color w:val="FFFFFF"/>
                <w:sz w:val="20"/>
                <w:szCs w:val="20"/>
              </w:rPr>
            </w:pPr>
            <w:r>
              <w:rPr>
                <w:color w:val="FFFFFF"/>
                <w:sz w:val="20"/>
                <w:szCs w:val="20"/>
              </w:rPr>
              <w:t>Consejo de la Judicatura Federal</w:t>
            </w:r>
          </w:p>
        </w:tc>
        <w:tc>
          <w:tcPr>
            <w:tcW w:w="2370" w:type="dxa"/>
            <w:shd w:val="clear" w:color="auto" w:fill="93CDDC"/>
            <w:tcMar>
              <w:top w:w="100" w:type="dxa"/>
              <w:left w:w="100" w:type="dxa"/>
              <w:bottom w:w="100" w:type="dxa"/>
              <w:right w:w="100" w:type="dxa"/>
            </w:tcMar>
            <w:vAlign w:val="center"/>
          </w:tcPr>
          <w:p w14:paraId="04907CA5" w14:textId="77777777" w:rsidR="008A34AE" w:rsidRDefault="00F35562">
            <w:pPr>
              <w:widowControl w:val="0"/>
              <w:pBdr>
                <w:top w:val="nil"/>
                <w:left w:val="nil"/>
                <w:bottom w:val="nil"/>
                <w:right w:val="nil"/>
                <w:between w:val="nil"/>
              </w:pBdr>
              <w:contextualSpacing w:val="0"/>
              <w:jc w:val="center"/>
              <w:rPr>
                <w:color w:val="205968"/>
                <w:sz w:val="20"/>
                <w:szCs w:val="20"/>
              </w:rPr>
            </w:pPr>
            <w:r>
              <w:rPr>
                <w:color w:val="205968"/>
                <w:sz w:val="20"/>
                <w:szCs w:val="20"/>
              </w:rPr>
              <w:t>$1,754,496,585.7</w:t>
            </w:r>
          </w:p>
        </w:tc>
        <w:tc>
          <w:tcPr>
            <w:tcW w:w="2430" w:type="dxa"/>
            <w:shd w:val="clear" w:color="auto" w:fill="93CDDC"/>
            <w:tcMar>
              <w:top w:w="100" w:type="dxa"/>
              <w:left w:w="100" w:type="dxa"/>
              <w:bottom w:w="100" w:type="dxa"/>
              <w:right w:w="100" w:type="dxa"/>
            </w:tcMar>
            <w:vAlign w:val="center"/>
          </w:tcPr>
          <w:p w14:paraId="360A8AE0" w14:textId="77777777" w:rsidR="008A34AE" w:rsidRDefault="00F35562">
            <w:pPr>
              <w:widowControl w:val="0"/>
              <w:pBdr>
                <w:top w:val="nil"/>
                <w:left w:val="nil"/>
                <w:bottom w:val="nil"/>
                <w:right w:val="nil"/>
                <w:between w:val="nil"/>
              </w:pBdr>
              <w:ind w:right="-675"/>
              <w:contextualSpacing w:val="0"/>
              <w:jc w:val="center"/>
              <w:rPr>
                <w:color w:val="205968"/>
                <w:sz w:val="20"/>
                <w:szCs w:val="20"/>
              </w:rPr>
            </w:pPr>
            <w:r>
              <w:rPr>
                <w:color w:val="205968"/>
                <w:sz w:val="20"/>
                <w:szCs w:val="20"/>
              </w:rPr>
              <w:t>FONDEN</w:t>
            </w:r>
          </w:p>
        </w:tc>
      </w:tr>
      <w:tr w:rsidR="008A34AE" w14:paraId="2D05D644" w14:textId="77777777">
        <w:trPr>
          <w:trHeight w:val="500"/>
        </w:trPr>
        <w:tc>
          <w:tcPr>
            <w:tcW w:w="4170" w:type="dxa"/>
            <w:shd w:val="clear" w:color="auto" w:fill="31849B"/>
            <w:tcMar>
              <w:top w:w="100" w:type="dxa"/>
              <w:left w:w="100" w:type="dxa"/>
              <w:bottom w:w="100" w:type="dxa"/>
              <w:right w:w="100" w:type="dxa"/>
            </w:tcMar>
          </w:tcPr>
          <w:p w14:paraId="0B9D416A" w14:textId="77777777" w:rsidR="008A34AE" w:rsidRDefault="00F35562">
            <w:pPr>
              <w:widowControl w:val="0"/>
              <w:pBdr>
                <w:top w:val="nil"/>
                <w:left w:val="nil"/>
                <w:bottom w:val="nil"/>
                <w:right w:val="nil"/>
                <w:between w:val="nil"/>
              </w:pBdr>
              <w:contextualSpacing w:val="0"/>
              <w:rPr>
                <w:color w:val="FFFFFF"/>
                <w:sz w:val="20"/>
                <w:szCs w:val="20"/>
              </w:rPr>
            </w:pPr>
            <w:r>
              <w:rPr>
                <w:color w:val="FFFFFF"/>
                <w:sz w:val="20"/>
                <w:szCs w:val="20"/>
              </w:rPr>
              <w:t>Suprema Corte de Justicia de la Federación</w:t>
            </w:r>
          </w:p>
        </w:tc>
        <w:tc>
          <w:tcPr>
            <w:tcW w:w="2370" w:type="dxa"/>
            <w:shd w:val="clear" w:color="auto" w:fill="93CDDC"/>
            <w:tcMar>
              <w:top w:w="100" w:type="dxa"/>
              <w:left w:w="100" w:type="dxa"/>
              <w:bottom w:w="100" w:type="dxa"/>
              <w:right w:w="100" w:type="dxa"/>
            </w:tcMar>
            <w:vAlign w:val="center"/>
          </w:tcPr>
          <w:p w14:paraId="2AE331F0" w14:textId="77777777" w:rsidR="008A34AE" w:rsidRDefault="00F35562">
            <w:pPr>
              <w:widowControl w:val="0"/>
              <w:pBdr>
                <w:top w:val="nil"/>
                <w:left w:val="nil"/>
                <w:bottom w:val="nil"/>
                <w:right w:val="nil"/>
                <w:between w:val="nil"/>
              </w:pBdr>
              <w:contextualSpacing w:val="0"/>
              <w:jc w:val="center"/>
              <w:rPr>
                <w:color w:val="205968"/>
                <w:sz w:val="20"/>
                <w:szCs w:val="20"/>
              </w:rPr>
            </w:pPr>
            <w:r>
              <w:rPr>
                <w:color w:val="205968"/>
                <w:sz w:val="20"/>
                <w:szCs w:val="20"/>
              </w:rPr>
              <w:t>$274,989,164.8</w:t>
            </w:r>
          </w:p>
        </w:tc>
        <w:tc>
          <w:tcPr>
            <w:tcW w:w="2430" w:type="dxa"/>
            <w:shd w:val="clear" w:color="auto" w:fill="93CDDC"/>
            <w:tcMar>
              <w:top w:w="100" w:type="dxa"/>
              <w:left w:w="100" w:type="dxa"/>
              <w:bottom w:w="100" w:type="dxa"/>
              <w:right w:w="100" w:type="dxa"/>
            </w:tcMar>
            <w:vAlign w:val="center"/>
          </w:tcPr>
          <w:p w14:paraId="68FF8107" w14:textId="77777777" w:rsidR="008A34AE" w:rsidRDefault="00F35562">
            <w:pPr>
              <w:widowControl w:val="0"/>
              <w:pBdr>
                <w:top w:val="nil"/>
                <w:left w:val="nil"/>
                <w:bottom w:val="nil"/>
                <w:right w:val="nil"/>
                <w:between w:val="nil"/>
              </w:pBdr>
              <w:ind w:right="-675"/>
              <w:contextualSpacing w:val="0"/>
              <w:jc w:val="center"/>
              <w:rPr>
                <w:color w:val="205968"/>
                <w:sz w:val="20"/>
                <w:szCs w:val="20"/>
              </w:rPr>
            </w:pPr>
            <w:r>
              <w:rPr>
                <w:color w:val="205968"/>
                <w:sz w:val="20"/>
                <w:szCs w:val="20"/>
              </w:rPr>
              <w:t>FONDEN</w:t>
            </w:r>
          </w:p>
        </w:tc>
      </w:tr>
      <w:tr w:rsidR="008A34AE" w14:paraId="073940B2" w14:textId="77777777">
        <w:trPr>
          <w:trHeight w:val="500"/>
        </w:trPr>
        <w:tc>
          <w:tcPr>
            <w:tcW w:w="4170" w:type="dxa"/>
            <w:shd w:val="clear" w:color="auto" w:fill="31849B"/>
            <w:tcMar>
              <w:top w:w="100" w:type="dxa"/>
              <w:left w:w="100" w:type="dxa"/>
              <w:bottom w:w="100" w:type="dxa"/>
              <w:right w:w="100" w:type="dxa"/>
            </w:tcMar>
          </w:tcPr>
          <w:p w14:paraId="53F9B7AF" w14:textId="77777777" w:rsidR="008A34AE" w:rsidRDefault="00F35562">
            <w:pPr>
              <w:widowControl w:val="0"/>
              <w:contextualSpacing w:val="0"/>
              <w:rPr>
                <w:color w:val="FFFFFF"/>
                <w:sz w:val="20"/>
                <w:szCs w:val="20"/>
              </w:rPr>
            </w:pPr>
            <w:r>
              <w:rPr>
                <w:color w:val="FFFFFF"/>
                <w:sz w:val="20"/>
                <w:szCs w:val="20"/>
              </w:rPr>
              <w:t>Cámara de diputados</w:t>
            </w:r>
          </w:p>
        </w:tc>
        <w:tc>
          <w:tcPr>
            <w:tcW w:w="2370" w:type="dxa"/>
            <w:shd w:val="clear" w:color="auto" w:fill="93CDDC"/>
            <w:tcMar>
              <w:top w:w="100" w:type="dxa"/>
              <w:left w:w="100" w:type="dxa"/>
              <w:bottom w:w="100" w:type="dxa"/>
              <w:right w:w="100" w:type="dxa"/>
            </w:tcMar>
            <w:vAlign w:val="center"/>
          </w:tcPr>
          <w:p w14:paraId="2E088B45" w14:textId="77777777" w:rsidR="008A34AE" w:rsidRDefault="00F35562">
            <w:pPr>
              <w:widowControl w:val="0"/>
              <w:contextualSpacing w:val="0"/>
              <w:jc w:val="center"/>
              <w:rPr>
                <w:color w:val="205968"/>
                <w:sz w:val="20"/>
                <w:szCs w:val="20"/>
              </w:rPr>
            </w:pPr>
            <w:r>
              <w:rPr>
                <w:color w:val="205968"/>
                <w:sz w:val="20"/>
                <w:szCs w:val="20"/>
              </w:rPr>
              <w:t>$50,000,000</w:t>
            </w:r>
          </w:p>
        </w:tc>
        <w:tc>
          <w:tcPr>
            <w:tcW w:w="2430" w:type="dxa"/>
            <w:shd w:val="clear" w:color="auto" w:fill="93CDDC"/>
            <w:tcMar>
              <w:top w:w="100" w:type="dxa"/>
              <w:left w:w="100" w:type="dxa"/>
              <w:bottom w:w="100" w:type="dxa"/>
              <w:right w:w="100" w:type="dxa"/>
            </w:tcMar>
            <w:vAlign w:val="center"/>
          </w:tcPr>
          <w:p w14:paraId="18D38F9D" w14:textId="77777777" w:rsidR="008A34AE" w:rsidRDefault="00F35562">
            <w:pPr>
              <w:widowControl w:val="0"/>
              <w:ind w:right="-675"/>
              <w:contextualSpacing w:val="0"/>
              <w:jc w:val="center"/>
              <w:rPr>
                <w:color w:val="205968"/>
                <w:sz w:val="20"/>
                <w:szCs w:val="20"/>
              </w:rPr>
            </w:pPr>
            <w:r>
              <w:rPr>
                <w:color w:val="205968"/>
                <w:sz w:val="20"/>
                <w:szCs w:val="20"/>
              </w:rPr>
              <w:t>FONDEN</w:t>
            </w:r>
          </w:p>
        </w:tc>
      </w:tr>
      <w:tr w:rsidR="008A34AE" w14:paraId="62098A1C" w14:textId="77777777">
        <w:trPr>
          <w:trHeight w:val="500"/>
        </w:trPr>
        <w:tc>
          <w:tcPr>
            <w:tcW w:w="4170" w:type="dxa"/>
            <w:shd w:val="clear" w:color="auto" w:fill="31849B"/>
            <w:tcMar>
              <w:top w:w="100" w:type="dxa"/>
              <w:left w:w="100" w:type="dxa"/>
              <w:bottom w:w="100" w:type="dxa"/>
              <w:right w:w="100" w:type="dxa"/>
            </w:tcMar>
          </w:tcPr>
          <w:p w14:paraId="3A73AB28" w14:textId="77777777" w:rsidR="008A34AE" w:rsidRDefault="00F35562">
            <w:pPr>
              <w:widowControl w:val="0"/>
              <w:contextualSpacing w:val="0"/>
              <w:rPr>
                <w:color w:val="FFFFFF"/>
                <w:sz w:val="20"/>
                <w:szCs w:val="20"/>
              </w:rPr>
            </w:pPr>
            <w:r>
              <w:rPr>
                <w:color w:val="FFFFFF"/>
                <w:sz w:val="20"/>
                <w:szCs w:val="20"/>
              </w:rPr>
              <w:t>Instituto Federal de Telecomunicaciones</w:t>
            </w:r>
          </w:p>
        </w:tc>
        <w:tc>
          <w:tcPr>
            <w:tcW w:w="2370" w:type="dxa"/>
            <w:shd w:val="clear" w:color="auto" w:fill="93CDDC"/>
            <w:tcMar>
              <w:top w:w="100" w:type="dxa"/>
              <w:left w:w="100" w:type="dxa"/>
              <w:bottom w:w="100" w:type="dxa"/>
              <w:right w:w="100" w:type="dxa"/>
            </w:tcMar>
            <w:vAlign w:val="center"/>
          </w:tcPr>
          <w:p w14:paraId="0279E3BE" w14:textId="77777777" w:rsidR="008A34AE" w:rsidRDefault="00F35562">
            <w:pPr>
              <w:widowControl w:val="0"/>
              <w:contextualSpacing w:val="0"/>
              <w:jc w:val="center"/>
              <w:rPr>
                <w:color w:val="205968"/>
                <w:sz w:val="20"/>
                <w:szCs w:val="20"/>
              </w:rPr>
            </w:pPr>
            <w:r>
              <w:rPr>
                <w:color w:val="205968"/>
                <w:sz w:val="20"/>
                <w:szCs w:val="20"/>
              </w:rPr>
              <w:t>$91,165,232</w:t>
            </w:r>
          </w:p>
        </w:tc>
        <w:tc>
          <w:tcPr>
            <w:tcW w:w="2430" w:type="dxa"/>
            <w:shd w:val="clear" w:color="auto" w:fill="93CDDC"/>
            <w:tcMar>
              <w:top w:w="100" w:type="dxa"/>
              <w:left w:w="100" w:type="dxa"/>
              <w:bottom w:w="100" w:type="dxa"/>
              <w:right w:w="100" w:type="dxa"/>
            </w:tcMar>
            <w:vAlign w:val="center"/>
          </w:tcPr>
          <w:p w14:paraId="1922AB12" w14:textId="77777777" w:rsidR="008A34AE" w:rsidRDefault="00F35562">
            <w:pPr>
              <w:widowControl w:val="0"/>
              <w:ind w:right="-675"/>
              <w:contextualSpacing w:val="0"/>
              <w:jc w:val="center"/>
              <w:rPr>
                <w:color w:val="205968"/>
                <w:sz w:val="20"/>
                <w:szCs w:val="20"/>
              </w:rPr>
            </w:pPr>
            <w:r>
              <w:rPr>
                <w:color w:val="205968"/>
                <w:sz w:val="20"/>
                <w:szCs w:val="20"/>
              </w:rPr>
              <w:t>FONDEN</w:t>
            </w:r>
          </w:p>
        </w:tc>
      </w:tr>
      <w:tr w:rsidR="008A34AE" w14:paraId="385BE661" w14:textId="77777777">
        <w:trPr>
          <w:trHeight w:val="500"/>
        </w:trPr>
        <w:tc>
          <w:tcPr>
            <w:tcW w:w="4170" w:type="dxa"/>
            <w:shd w:val="clear" w:color="auto" w:fill="31849B"/>
            <w:tcMar>
              <w:top w:w="100" w:type="dxa"/>
              <w:left w:w="100" w:type="dxa"/>
              <w:bottom w:w="100" w:type="dxa"/>
              <w:right w:w="100" w:type="dxa"/>
            </w:tcMar>
          </w:tcPr>
          <w:p w14:paraId="23044A56" w14:textId="77777777" w:rsidR="008A34AE" w:rsidRDefault="00F35562">
            <w:pPr>
              <w:widowControl w:val="0"/>
              <w:contextualSpacing w:val="0"/>
              <w:rPr>
                <w:color w:val="FFFFFF"/>
                <w:sz w:val="20"/>
                <w:szCs w:val="20"/>
              </w:rPr>
            </w:pPr>
            <w:r>
              <w:rPr>
                <w:color w:val="FFFFFF"/>
                <w:sz w:val="20"/>
                <w:szCs w:val="20"/>
              </w:rPr>
              <w:t>Comisión Federal de Competencia Económica</w:t>
            </w:r>
          </w:p>
        </w:tc>
        <w:tc>
          <w:tcPr>
            <w:tcW w:w="2370" w:type="dxa"/>
            <w:shd w:val="clear" w:color="auto" w:fill="93CDDC"/>
            <w:tcMar>
              <w:top w:w="100" w:type="dxa"/>
              <w:left w:w="100" w:type="dxa"/>
              <w:bottom w:w="100" w:type="dxa"/>
              <w:right w:w="100" w:type="dxa"/>
            </w:tcMar>
            <w:vAlign w:val="center"/>
          </w:tcPr>
          <w:p w14:paraId="76A489E0" w14:textId="77777777" w:rsidR="008A34AE" w:rsidRDefault="00F35562">
            <w:pPr>
              <w:widowControl w:val="0"/>
              <w:contextualSpacing w:val="0"/>
              <w:jc w:val="center"/>
              <w:rPr>
                <w:color w:val="205968"/>
                <w:sz w:val="20"/>
                <w:szCs w:val="20"/>
              </w:rPr>
            </w:pPr>
            <w:r>
              <w:rPr>
                <w:color w:val="205968"/>
                <w:sz w:val="20"/>
                <w:szCs w:val="20"/>
              </w:rPr>
              <w:t>$16,000,000</w:t>
            </w:r>
          </w:p>
        </w:tc>
        <w:tc>
          <w:tcPr>
            <w:tcW w:w="2430" w:type="dxa"/>
            <w:shd w:val="clear" w:color="auto" w:fill="93CDDC"/>
            <w:tcMar>
              <w:top w:w="100" w:type="dxa"/>
              <w:left w:w="100" w:type="dxa"/>
              <w:bottom w:w="100" w:type="dxa"/>
              <w:right w:w="100" w:type="dxa"/>
            </w:tcMar>
            <w:vAlign w:val="center"/>
          </w:tcPr>
          <w:p w14:paraId="214A3EE7" w14:textId="77777777" w:rsidR="008A34AE" w:rsidRDefault="00F35562">
            <w:pPr>
              <w:widowControl w:val="0"/>
              <w:ind w:right="-675"/>
              <w:contextualSpacing w:val="0"/>
              <w:jc w:val="center"/>
              <w:rPr>
                <w:color w:val="205968"/>
                <w:sz w:val="20"/>
                <w:szCs w:val="20"/>
              </w:rPr>
            </w:pPr>
            <w:r>
              <w:rPr>
                <w:color w:val="205968"/>
                <w:sz w:val="20"/>
                <w:szCs w:val="20"/>
              </w:rPr>
              <w:t>FONDEN</w:t>
            </w:r>
          </w:p>
        </w:tc>
      </w:tr>
      <w:tr w:rsidR="008A34AE" w14:paraId="5BC10CF4" w14:textId="77777777">
        <w:trPr>
          <w:trHeight w:val="500"/>
        </w:trPr>
        <w:tc>
          <w:tcPr>
            <w:tcW w:w="4170" w:type="dxa"/>
            <w:shd w:val="clear" w:color="auto" w:fill="31849B"/>
            <w:tcMar>
              <w:top w:w="100" w:type="dxa"/>
              <w:left w:w="100" w:type="dxa"/>
              <w:bottom w:w="100" w:type="dxa"/>
              <w:right w:w="100" w:type="dxa"/>
            </w:tcMar>
          </w:tcPr>
          <w:p w14:paraId="38A1F580" w14:textId="77777777" w:rsidR="008A34AE" w:rsidRDefault="00F35562">
            <w:pPr>
              <w:widowControl w:val="0"/>
              <w:contextualSpacing w:val="0"/>
              <w:rPr>
                <w:color w:val="FFFFFF"/>
                <w:sz w:val="20"/>
                <w:szCs w:val="20"/>
              </w:rPr>
            </w:pPr>
            <w:r>
              <w:rPr>
                <w:color w:val="FFFFFF"/>
                <w:sz w:val="20"/>
                <w:szCs w:val="20"/>
              </w:rPr>
              <w:t>Instituto Nacional de Transparencia, Acceso a la Información y Protección de Datos Personales</w:t>
            </w:r>
          </w:p>
        </w:tc>
        <w:tc>
          <w:tcPr>
            <w:tcW w:w="2370" w:type="dxa"/>
            <w:shd w:val="clear" w:color="auto" w:fill="93CDDC"/>
            <w:tcMar>
              <w:top w:w="100" w:type="dxa"/>
              <w:left w:w="100" w:type="dxa"/>
              <w:bottom w:w="100" w:type="dxa"/>
              <w:right w:w="100" w:type="dxa"/>
            </w:tcMar>
            <w:vAlign w:val="center"/>
          </w:tcPr>
          <w:p w14:paraId="3853F64F" w14:textId="77777777" w:rsidR="008A34AE" w:rsidRDefault="00F35562">
            <w:pPr>
              <w:widowControl w:val="0"/>
              <w:contextualSpacing w:val="0"/>
              <w:jc w:val="center"/>
              <w:rPr>
                <w:color w:val="205968"/>
                <w:sz w:val="20"/>
                <w:szCs w:val="20"/>
              </w:rPr>
            </w:pPr>
            <w:r>
              <w:rPr>
                <w:color w:val="205968"/>
                <w:sz w:val="20"/>
                <w:szCs w:val="20"/>
              </w:rPr>
              <w:t>$10,000,000</w:t>
            </w:r>
          </w:p>
        </w:tc>
        <w:tc>
          <w:tcPr>
            <w:tcW w:w="2430" w:type="dxa"/>
            <w:shd w:val="clear" w:color="auto" w:fill="93CDDC"/>
            <w:tcMar>
              <w:top w:w="100" w:type="dxa"/>
              <w:left w:w="100" w:type="dxa"/>
              <w:bottom w:w="100" w:type="dxa"/>
              <w:right w:w="100" w:type="dxa"/>
            </w:tcMar>
            <w:vAlign w:val="center"/>
          </w:tcPr>
          <w:p w14:paraId="081D0121" w14:textId="77777777" w:rsidR="008A34AE" w:rsidRDefault="00F35562">
            <w:pPr>
              <w:widowControl w:val="0"/>
              <w:ind w:right="-675"/>
              <w:contextualSpacing w:val="0"/>
              <w:jc w:val="center"/>
              <w:rPr>
                <w:color w:val="205968"/>
                <w:sz w:val="20"/>
                <w:szCs w:val="20"/>
              </w:rPr>
            </w:pPr>
            <w:r>
              <w:rPr>
                <w:color w:val="205968"/>
                <w:sz w:val="20"/>
                <w:szCs w:val="20"/>
              </w:rPr>
              <w:t>FONDEN</w:t>
            </w:r>
          </w:p>
        </w:tc>
      </w:tr>
      <w:tr w:rsidR="008A34AE" w14:paraId="033AFA83" w14:textId="77777777">
        <w:trPr>
          <w:trHeight w:val="500"/>
        </w:trPr>
        <w:tc>
          <w:tcPr>
            <w:tcW w:w="4170" w:type="dxa"/>
            <w:shd w:val="clear" w:color="auto" w:fill="31849B"/>
            <w:tcMar>
              <w:top w:w="100" w:type="dxa"/>
              <w:left w:w="100" w:type="dxa"/>
              <w:bottom w:w="100" w:type="dxa"/>
              <w:right w:w="100" w:type="dxa"/>
            </w:tcMar>
          </w:tcPr>
          <w:p w14:paraId="181ACECD" w14:textId="77777777" w:rsidR="008A34AE" w:rsidRDefault="00F35562">
            <w:pPr>
              <w:widowControl w:val="0"/>
              <w:pBdr>
                <w:top w:val="nil"/>
                <w:left w:val="nil"/>
                <w:bottom w:val="nil"/>
                <w:right w:val="nil"/>
                <w:between w:val="nil"/>
              </w:pBdr>
              <w:contextualSpacing w:val="0"/>
              <w:rPr>
                <w:color w:val="FFFFFF"/>
                <w:sz w:val="20"/>
                <w:szCs w:val="20"/>
              </w:rPr>
            </w:pPr>
            <w:r>
              <w:rPr>
                <w:color w:val="FFFFFF"/>
                <w:sz w:val="20"/>
                <w:szCs w:val="20"/>
              </w:rPr>
              <w:t>Instituto Nacional Electoral/</w:t>
            </w:r>
            <w:r w:rsidR="00D062B3">
              <w:rPr>
                <w:color w:val="FFFFFF"/>
                <w:sz w:val="20"/>
                <w:szCs w:val="20"/>
              </w:rPr>
              <w:t xml:space="preserve"> </w:t>
            </w:r>
            <w:r>
              <w:rPr>
                <w:color w:val="FFFFFF"/>
                <w:sz w:val="20"/>
                <w:szCs w:val="20"/>
              </w:rPr>
              <w:t>Gasto de operación</w:t>
            </w:r>
          </w:p>
        </w:tc>
        <w:tc>
          <w:tcPr>
            <w:tcW w:w="2370" w:type="dxa"/>
            <w:shd w:val="clear" w:color="auto" w:fill="93CDDC"/>
            <w:tcMar>
              <w:top w:w="100" w:type="dxa"/>
              <w:left w:w="100" w:type="dxa"/>
              <w:bottom w:w="100" w:type="dxa"/>
              <w:right w:w="100" w:type="dxa"/>
            </w:tcMar>
            <w:vAlign w:val="center"/>
          </w:tcPr>
          <w:p w14:paraId="577C4000" w14:textId="77777777" w:rsidR="008A34AE" w:rsidRDefault="00F35562">
            <w:pPr>
              <w:widowControl w:val="0"/>
              <w:pBdr>
                <w:top w:val="nil"/>
                <w:left w:val="nil"/>
                <w:bottom w:val="nil"/>
                <w:right w:val="nil"/>
                <w:between w:val="nil"/>
              </w:pBdr>
              <w:contextualSpacing w:val="0"/>
              <w:jc w:val="center"/>
              <w:rPr>
                <w:color w:val="205968"/>
                <w:sz w:val="20"/>
                <w:szCs w:val="20"/>
              </w:rPr>
            </w:pPr>
            <w:r>
              <w:rPr>
                <w:color w:val="205968"/>
                <w:sz w:val="20"/>
                <w:szCs w:val="20"/>
              </w:rPr>
              <w:t>$115,000,000</w:t>
            </w:r>
          </w:p>
        </w:tc>
        <w:tc>
          <w:tcPr>
            <w:tcW w:w="2430" w:type="dxa"/>
            <w:shd w:val="clear" w:color="auto" w:fill="93CDDC"/>
            <w:tcMar>
              <w:top w:w="100" w:type="dxa"/>
              <w:left w:w="100" w:type="dxa"/>
              <w:bottom w:w="100" w:type="dxa"/>
              <w:right w:w="100" w:type="dxa"/>
            </w:tcMar>
            <w:vAlign w:val="center"/>
          </w:tcPr>
          <w:p w14:paraId="54B01C50" w14:textId="77777777" w:rsidR="008A34AE" w:rsidRDefault="00F35562">
            <w:pPr>
              <w:widowControl w:val="0"/>
              <w:pBdr>
                <w:top w:val="nil"/>
                <w:left w:val="nil"/>
                <w:bottom w:val="nil"/>
                <w:right w:val="nil"/>
                <w:between w:val="nil"/>
              </w:pBdr>
              <w:ind w:right="-675"/>
              <w:contextualSpacing w:val="0"/>
              <w:jc w:val="center"/>
              <w:rPr>
                <w:color w:val="205968"/>
                <w:sz w:val="20"/>
                <w:szCs w:val="20"/>
              </w:rPr>
            </w:pPr>
            <w:r>
              <w:rPr>
                <w:color w:val="205968"/>
                <w:sz w:val="20"/>
                <w:szCs w:val="20"/>
              </w:rPr>
              <w:t>FONDEN</w:t>
            </w:r>
          </w:p>
        </w:tc>
      </w:tr>
      <w:tr w:rsidR="008A34AE" w14:paraId="1720813F" w14:textId="77777777">
        <w:trPr>
          <w:trHeight w:val="500"/>
        </w:trPr>
        <w:tc>
          <w:tcPr>
            <w:tcW w:w="4170" w:type="dxa"/>
            <w:shd w:val="clear" w:color="auto" w:fill="31849B"/>
            <w:tcMar>
              <w:top w:w="100" w:type="dxa"/>
              <w:left w:w="100" w:type="dxa"/>
              <w:bottom w:w="100" w:type="dxa"/>
              <w:right w:w="100" w:type="dxa"/>
            </w:tcMar>
          </w:tcPr>
          <w:p w14:paraId="08A93814" w14:textId="77777777" w:rsidR="008A34AE" w:rsidRDefault="00F35562">
            <w:pPr>
              <w:widowControl w:val="0"/>
              <w:pBdr>
                <w:top w:val="nil"/>
                <w:left w:val="nil"/>
                <w:bottom w:val="nil"/>
                <w:right w:val="nil"/>
                <w:between w:val="nil"/>
              </w:pBdr>
              <w:contextualSpacing w:val="0"/>
              <w:rPr>
                <w:color w:val="FFFFFF"/>
                <w:sz w:val="20"/>
                <w:szCs w:val="20"/>
              </w:rPr>
            </w:pPr>
            <w:r>
              <w:rPr>
                <w:color w:val="FFFFFF"/>
                <w:sz w:val="20"/>
                <w:szCs w:val="20"/>
              </w:rPr>
              <w:lastRenderedPageBreak/>
              <w:t>Instituto Nacional Electoral/ Movimiento Ciudadano</w:t>
            </w:r>
          </w:p>
        </w:tc>
        <w:tc>
          <w:tcPr>
            <w:tcW w:w="2370" w:type="dxa"/>
            <w:shd w:val="clear" w:color="auto" w:fill="93CDDC"/>
            <w:tcMar>
              <w:top w:w="100" w:type="dxa"/>
              <w:left w:w="100" w:type="dxa"/>
              <w:bottom w:w="100" w:type="dxa"/>
              <w:right w:w="100" w:type="dxa"/>
            </w:tcMar>
            <w:vAlign w:val="center"/>
          </w:tcPr>
          <w:p w14:paraId="5ED90B7E" w14:textId="77777777" w:rsidR="008A34AE" w:rsidRDefault="00F35562">
            <w:pPr>
              <w:widowControl w:val="0"/>
              <w:pBdr>
                <w:top w:val="nil"/>
                <w:left w:val="nil"/>
                <w:bottom w:val="nil"/>
                <w:right w:val="nil"/>
                <w:between w:val="nil"/>
              </w:pBdr>
              <w:contextualSpacing w:val="0"/>
              <w:jc w:val="center"/>
              <w:rPr>
                <w:color w:val="205968"/>
                <w:sz w:val="20"/>
                <w:szCs w:val="20"/>
              </w:rPr>
            </w:pPr>
            <w:r>
              <w:rPr>
                <w:color w:val="205968"/>
                <w:sz w:val="20"/>
                <w:szCs w:val="20"/>
              </w:rPr>
              <w:t>$50,998,015</w:t>
            </w:r>
          </w:p>
        </w:tc>
        <w:tc>
          <w:tcPr>
            <w:tcW w:w="2430" w:type="dxa"/>
            <w:shd w:val="clear" w:color="auto" w:fill="93CDDC"/>
            <w:tcMar>
              <w:top w:w="100" w:type="dxa"/>
              <w:left w:w="100" w:type="dxa"/>
              <w:bottom w:w="100" w:type="dxa"/>
              <w:right w:w="100" w:type="dxa"/>
            </w:tcMar>
            <w:vAlign w:val="center"/>
          </w:tcPr>
          <w:p w14:paraId="479AC265" w14:textId="77777777" w:rsidR="008A34AE" w:rsidRDefault="00F35562">
            <w:pPr>
              <w:widowControl w:val="0"/>
              <w:pBdr>
                <w:top w:val="nil"/>
                <w:left w:val="nil"/>
                <w:bottom w:val="nil"/>
                <w:right w:val="nil"/>
                <w:between w:val="nil"/>
              </w:pBdr>
              <w:ind w:right="-675"/>
              <w:contextualSpacing w:val="0"/>
              <w:jc w:val="center"/>
              <w:rPr>
                <w:color w:val="205968"/>
                <w:sz w:val="20"/>
                <w:szCs w:val="20"/>
              </w:rPr>
            </w:pPr>
            <w:r>
              <w:rPr>
                <w:color w:val="205968"/>
                <w:sz w:val="20"/>
                <w:szCs w:val="20"/>
              </w:rPr>
              <w:t>FONDEN</w:t>
            </w:r>
          </w:p>
        </w:tc>
      </w:tr>
      <w:tr w:rsidR="008A34AE" w14:paraId="1A5E1980" w14:textId="77777777">
        <w:trPr>
          <w:trHeight w:val="500"/>
        </w:trPr>
        <w:tc>
          <w:tcPr>
            <w:tcW w:w="4170" w:type="dxa"/>
            <w:shd w:val="clear" w:color="auto" w:fill="31849B"/>
            <w:tcMar>
              <w:top w:w="100" w:type="dxa"/>
              <w:left w:w="100" w:type="dxa"/>
              <w:bottom w:w="100" w:type="dxa"/>
              <w:right w:w="100" w:type="dxa"/>
            </w:tcMar>
          </w:tcPr>
          <w:p w14:paraId="550B1E95" w14:textId="77777777" w:rsidR="008A34AE" w:rsidRDefault="00F35562">
            <w:pPr>
              <w:widowControl w:val="0"/>
              <w:pBdr>
                <w:top w:val="nil"/>
                <w:left w:val="nil"/>
                <w:bottom w:val="nil"/>
                <w:right w:val="nil"/>
                <w:between w:val="nil"/>
              </w:pBdr>
              <w:contextualSpacing w:val="0"/>
              <w:rPr>
                <w:color w:val="FFFFFF"/>
                <w:sz w:val="20"/>
                <w:szCs w:val="20"/>
              </w:rPr>
            </w:pPr>
            <w:r>
              <w:rPr>
                <w:color w:val="FFFFFF"/>
                <w:sz w:val="20"/>
                <w:szCs w:val="20"/>
              </w:rPr>
              <w:t>Instituto Nacional Electoral/</w:t>
            </w:r>
            <w:r w:rsidR="00D062B3">
              <w:rPr>
                <w:color w:val="FFFFFF"/>
                <w:sz w:val="20"/>
                <w:szCs w:val="20"/>
              </w:rPr>
              <w:t xml:space="preserve"> </w:t>
            </w:r>
            <w:r>
              <w:rPr>
                <w:color w:val="FFFFFF"/>
                <w:sz w:val="20"/>
                <w:szCs w:val="20"/>
              </w:rPr>
              <w:t>Partido Acción Nacional</w:t>
            </w:r>
          </w:p>
        </w:tc>
        <w:tc>
          <w:tcPr>
            <w:tcW w:w="2370" w:type="dxa"/>
            <w:shd w:val="clear" w:color="auto" w:fill="93CDDC"/>
            <w:tcMar>
              <w:top w:w="100" w:type="dxa"/>
              <w:left w:w="100" w:type="dxa"/>
              <w:bottom w:w="100" w:type="dxa"/>
              <w:right w:w="100" w:type="dxa"/>
            </w:tcMar>
            <w:vAlign w:val="center"/>
          </w:tcPr>
          <w:p w14:paraId="26A12C06" w14:textId="77777777" w:rsidR="008A34AE" w:rsidRDefault="00F35562">
            <w:pPr>
              <w:widowControl w:val="0"/>
              <w:pBdr>
                <w:top w:val="nil"/>
                <w:left w:val="nil"/>
                <w:bottom w:val="nil"/>
                <w:right w:val="nil"/>
                <w:between w:val="nil"/>
              </w:pBdr>
              <w:contextualSpacing w:val="0"/>
              <w:jc w:val="center"/>
              <w:rPr>
                <w:color w:val="205968"/>
                <w:sz w:val="20"/>
                <w:szCs w:val="20"/>
              </w:rPr>
            </w:pPr>
            <w:r>
              <w:rPr>
                <w:color w:val="205968"/>
                <w:sz w:val="20"/>
                <w:szCs w:val="20"/>
              </w:rPr>
              <w:t>$50,000,000</w:t>
            </w:r>
          </w:p>
        </w:tc>
        <w:tc>
          <w:tcPr>
            <w:tcW w:w="2430" w:type="dxa"/>
            <w:shd w:val="clear" w:color="auto" w:fill="93CDDC"/>
            <w:tcMar>
              <w:top w:w="100" w:type="dxa"/>
              <w:left w:w="100" w:type="dxa"/>
              <w:bottom w:w="100" w:type="dxa"/>
              <w:right w:w="100" w:type="dxa"/>
            </w:tcMar>
            <w:vAlign w:val="center"/>
          </w:tcPr>
          <w:p w14:paraId="10229941" w14:textId="77777777" w:rsidR="008A34AE" w:rsidRDefault="00F35562">
            <w:pPr>
              <w:widowControl w:val="0"/>
              <w:pBdr>
                <w:top w:val="nil"/>
                <w:left w:val="nil"/>
                <w:bottom w:val="nil"/>
                <w:right w:val="nil"/>
                <w:between w:val="nil"/>
              </w:pBdr>
              <w:ind w:right="-675"/>
              <w:contextualSpacing w:val="0"/>
              <w:jc w:val="center"/>
              <w:rPr>
                <w:color w:val="205968"/>
                <w:sz w:val="20"/>
                <w:szCs w:val="20"/>
              </w:rPr>
            </w:pPr>
            <w:r>
              <w:rPr>
                <w:color w:val="205968"/>
                <w:sz w:val="20"/>
                <w:szCs w:val="20"/>
              </w:rPr>
              <w:t>FONDEN</w:t>
            </w:r>
          </w:p>
        </w:tc>
      </w:tr>
      <w:tr w:rsidR="008A34AE" w14:paraId="26A46D0C" w14:textId="77777777">
        <w:trPr>
          <w:trHeight w:val="500"/>
        </w:trPr>
        <w:tc>
          <w:tcPr>
            <w:tcW w:w="4170" w:type="dxa"/>
            <w:shd w:val="clear" w:color="auto" w:fill="31849B"/>
            <w:tcMar>
              <w:top w:w="100" w:type="dxa"/>
              <w:left w:w="100" w:type="dxa"/>
              <w:bottom w:w="100" w:type="dxa"/>
              <w:right w:w="100" w:type="dxa"/>
            </w:tcMar>
          </w:tcPr>
          <w:p w14:paraId="2704F089" w14:textId="77777777" w:rsidR="008A34AE" w:rsidRDefault="00F35562">
            <w:pPr>
              <w:widowControl w:val="0"/>
              <w:pBdr>
                <w:top w:val="nil"/>
                <w:left w:val="nil"/>
                <w:bottom w:val="nil"/>
                <w:right w:val="nil"/>
                <w:between w:val="nil"/>
              </w:pBdr>
              <w:contextualSpacing w:val="0"/>
              <w:rPr>
                <w:color w:val="FFFFFF"/>
                <w:sz w:val="20"/>
                <w:szCs w:val="20"/>
              </w:rPr>
            </w:pPr>
            <w:r>
              <w:rPr>
                <w:color w:val="FFFFFF"/>
                <w:sz w:val="20"/>
                <w:szCs w:val="20"/>
              </w:rPr>
              <w:t>Instituto Nacional Electoral/</w:t>
            </w:r>
            <w:r w:rsidR="00D062B3">
              <w:rPr>
                <w:color w:val="FFFFFF"/>
                <w:sz w:val="20"/>
                <w:szCs w:val="20"/>
              </w:rPr>
              <w:t xml:space="preserve"> </w:t>
            </w:r>
            <w:r>
              <w:rPr>
                <w:color w:val="FFFFFF"/>
                <w:sz w:val="20"/>
                <w:szCs w:val="20"/>
              </w:rPr>
              <w:t>Partido Revolucionario Institucional</w:t>
            </w:r>
          </w:p>
        </w:tc>
        <w:tc>
          <w:tcPr>
            <w:tcW w:w="2370" w:type="dxa"/>
            <w:shd w:val="clear" w:color="auto" w:fill="93CDDC"/>
            <w:tcMar>
              <w:top w:w="100" w:type="dxa"/>
              <w:left w:w="100" w:type="dxa"/>
              <w:bottom w:w="100" w:type="dxa"/>
              <w:right w:w="100" w:type="dxa"/>
            </w:tcMar>
            <w:vAlign w:val="center"/>
          </w:tcPr>
          <w:p w14:paraId="038C719E" w14:textId="77777777" w:rsidR="008A34AE" w:rsidRDefault="00F35562">
            <w:pPr>
              <w:widowControl w:val="0"/>
              <w:pBdr>
                <w:top w:val="nil"/>
                <w:left w:val="nil"/>
                <w:bottom w:val="nil"/>
                <w:right w:val="nil"/>
                <w:between w:val="nil"/>
              </w:pBdr>
              <w:contextualSpacing w:val="0"/>
              <w:jc w:val="center"/>
              <w:rPr>
                <w:color w:val="205968"/>
                <w:sz w:val="20"/>
                <w:szCs w:val="20"/>
              </w:rPr>
            </w:pPr>
            <w:r>
              <w:rPr>
                <w:color w:val="205968"/>
                <w:sz w:val="20"/>
                <w:szCs w:val="20"/>
              </w:rPr>
              <w:t>$258,617,034</w:t>
            </w:r>
          </w:p>
        </w:tc>
        <w:tc>
          <w:tcPr>
            <w:tcW w:w="2430" w:type="dxa"/>
            <w:shd w:val="clear" w:color="auto" w:fill="93CDDC"/>
            <w:tcMar>
              <w:top w:w="100" w:type="dxa"/>
              <w:left w:w="100" w:type="dxa"/>
              <w:bottom w:w="100" w:type="dxa"/>
              <w:right w:w="100" w:type="dxa"/>
            </w:tcMar>
            <w:vAlign w:val="center"/>
          </w:tcPr>
          <w:p w14:paraId="3DEF7691" w14:textId="77777777" w:rsidR="008A34AE" w:rsidRDefault="00F35562">
            <w:pPr>
              <w:widowControl w:val="0"/>
              <w:pBdr>
                <w:top w:val="nil"/>
                <w:left w:val="nil"/>
                <w:bottom w:val="nil"/>
                <w:right w:val="nil"/>
                <w:between w:val="nil"/>
              </w:pBdr>
              <w:ind w:right="-675"/>
              <w:contextualSpacing w:val="0"/>
              <w:jc w:val="center"/>
              <w:rPr>
                <w:color w:val="205968"/>
                <w:sz w:val="20"/>
                <w:szCs w:val="20"/>
              </w:rPr>
            </w:pPr>
            <w:r>
              <w:rPr>
                <w:color w:val="205968"/>
                <w:sz w:val="20"/>
                <w:szCs w:val="20"/>
              </w:rPr>
              <w:t>FONREC</w:t>
            </w:r>
          </w:p>
        </w:tc>
      </w:tr>
      <w:tr w:rsidR="008A34AE" w14:paraId="654B7E86" w14:textId="77777777">
        <w:trPr>
          <w:trHeight w:val="500"/>
        </w:trPr>
        <w:tc>
          <w:tcPr>
            <w:tcW w:w="4170" w:type="dxa"/>
            <w:shd w:val="clear" w:color="auto" w:fill="31849B"/>
            <w:tcMar>
              <w:top w:w="100" w:type="dxa"/>
              <w:left w:w="100" w:type="dxa"/>
              <w:bottom w:w="100" w:type="dxa"/>
              <w:right w:w="100" w:type="dxa"/>
            </w:tcMar>
          </w:tcPr>
          <w:p w14:paraId="0CF82D12" w14:textId="77777777" w:rsidR="008A34AE" w:rsidRDefault="00F35562">
            <w:pPr>
              <w:widowControl w:val="0"/>
              <w:pBdr>
                <w:top w:val="nil"/>
                <w:left w:val="nil"/>
                <w:bottom w:val="nil"/>
                <w:right w:val="nil"/>
                <w:between w:val="nil"/>
              </w:pBdr>
              <w:contextualSpacing w:val="0"/>
              <w:rPr>
                <w:color w:val="FFFFFF"/>
                <w:sz w:val="20"/>
                <w:szCs w:val="20"/>
              </w:rPr>
            </w:pPr>
            <w:r>
              <w:rPr>
                <w:color w:val="FFFFFF"/>
                <w:sz w:val="20"/>
                <w:szCs w:val="20"/>
              </w:rPr>
              <w:t>Instituto Nacional Electoral/</w:t>
            </w:r>
            <w:r w:rsidR="00D062B3">
              <w:rPr>
                <w:color w:val="FFFFFF"/>
                <w:sz w:val="20"/>
                <w:szCs w:val="20"/>
              </w:rPr>
              <w:t xml:space="preserve"> </w:t>
            </w:r>
            <w:r>
              <w:rPr>
                <w:color w:val="FFFFFF"/>
                <w:sz w:val="20"/>
                <w:szCs w:val="20"/>
              </w:rPr>
              <w:t>Partido Verde Ecologista de México</w:t>
            </w:r>
          </w:p>
        </w:tc>
        <w:tc>
          <w:tcPr>
            <w:tcW w:w="2370" w:type="dxa"/>
            <w:shd w:val="clear" w:color="auto" w:fill="93CDDC"/>
            <w:tcMar>
              <w:top w:w="100" w:type="dxa"/>
              <w:left w:w="100" w:type="dxa"/>
              <w:bottom w:w="100" w:type="dxa"/>
              <w:right w:w="100" w:type="dxa"/>
            </w:tcMar>
            <w:vAlign w:val="center"/>
          </w:tcPr>
          <w:p w14:paraId="27E5B87F" w14:textId="77777777" w:rsidR="008A34AE" w:rsidRDefault="00F35562">
            <w:pPr>
              <w:widowControl w:val="0"/>
              <w:pBdr>
                <w:top w:val="nil"/>
                <w:left w:val="nil"/>
                <w:bottom w:val="nil"/>
                <w:right w:val="nil"/>
                <w:between w:val="nil"/>
              </w:pBdr>
              <w:contextualSpacing w:val="0"/>
              <w:jc w:val="center"/>
              <w:rPr>
                <w:color w:val="205968"/>
                <w:sz w:val="20"/>
                <w:szCs w:val="20"/>
              </w:rPr>
            </w:pPr>
            <w:r>
              <w:rPr>
                <w:color w:val="205968"/>
                <w:sz w:val="20"/>
                <w:szCs w:val="20"/>
              </w:rPr>
              <w:t>$10,563,198.5</w:t>
            </w:r>
          </w:p>
        </w:tc>
        <w:tc>
          <w:tcPr>
            <w:tcW w:w="2430" w:type="dxa"/>
            <w:shd w:val="clear" w:color="auto" w:fill="93CDDC"/>
            <w:tcMar>
              <w:top w:w="100" w:type="dxa"/>
              <w:left w:w="100" w:type="dxa"/>
              <w:bottom w:w="100" w:type="dxa"/>
              <w:right w:w="100" w:type="dxa"/>
            </w:tcMar>
            <w:vAlign w:val="center"/>
          </w:tcPr>
          <w:p w14:paraId="32E3B961" w14:textId="77777777" w:rsidR="008A34AE" w:rsidRDefault="00F35562">
            <w:pPr>
              <w:widowControl w:val="0"/>
              <w:pBdr>
                <w:top w:val="nil"/>
                <w:left w:val="nil"/>
                <w:bottom w:val="nil"/>
                <w:right w:val="nil"/>
                <w:between w:val="nil"/>
              </w:pBdr>
              <w:ind w:right="-675"/>
              <w:contextualSpacing w:val="0"/>
              <w:jc w:val="center"/>
              <w:rPr>
                <w:color w:val="205968"/>
                <w:sz w:val="20"/>
                <w:szCs w:val="20"/>
              </w:rPr>
            </w:pPr>
            <w:r>
              <w:rPr>
                <w:color w:val="205968"/>
                <w:sz w:val="20"/>
                <w:szCs w:val="20"/>
              </w:rPr>
              <w:t>FONREC</w:t>
            </w:r>
          </w:p>
        </w:tc>
      </w:tr>
      <w:tr w:rsidR="008A34AE" w14:paraId="557CA233" w14:textId="77777777">
        <w:trPr>
          <w:trHeight w:val="500"/>
        </w:trPr>
        <w:tc>
          <w:tcPr>
            <w:tcW w:w="4170" w:type="dxa"/>
            <w:shd w:val="clear" w:color="auto" w:fill="31849B"/>
            <w:tcMar>
              <w:top w:w="100" w:type="dxa"/>
              <w:left w:w="100" w:type="dxa"/>
              <w:bottom w:w="100" w:type="dxa"/>
              <w:right w:w="100" w:type="dxa"/>
            </w:tcMar>
          </w:tcPr>
          <w:p w14:paraId="1C41D50A" w14:textId="77777777" w:rsidR="008A34AE" w:rsidRDefault="00F35562">
            <w:pPr>
              <w:widowControl w:val="0"/>
              <w:pBdr>
                <w:top w:val="nil"/>
                <w:left w:val="nil"/>
                <w:bottom w:val="nil"/>
                <w:right w:val="nil"/>
                <w:between w:val="nil"/>
              </w:pBdr>
              <w:contextualSpacing w:val="0"/>
              <w:rPr>
                <w:color w:val="FFFFFF"/>
                <w:sz w:val="20"/>
                <w:szCs w:val="20"/>
              </w:rPr>
            </w:pPr>
            <w:r>
              <w:rPr>
                <w:color w:val="FFFFFF"/>
                <w:sz w:val="20"/>
                <w:szCs w:val="20"/>
              </w:rPr>
              <w:t>Instituto Nacional Electoral/</w:t>
            </w:r>
            <w:r w:rsidR="00D062B3">
              <w:rPr>
                <w:color w:val="FFFFFF"/>
                <w:sz w:val="20"/>
                <w:szCs w:val="20"/>
              </w:rPr>
              <w:t xml:space="preserve"> </w:t>
            </w:r>
            <w:r>
              <w:rPr>
                <w:color w:val="FFFFFF"/>
                <w:sz w:val="20"/>
                <w:szCs w:val="20"/>
              </w:rPr>
              <w:t>Partido Encuentro Social</w:t>
            </w:r>
          </w:p>
        </w:tc>
        <w:tc>
          <w:tcPr>
            <w:tcW w:w="2370" w:type="dxa"/>
            <w:shd w:val="clear" w:color="auto" w:fill="93CDDC"/>
            <w:tcMar>
              <w:top w:w="100" w:type="dxa"/>
              <w:left w:w="100" w:type="dxa"/>
              <w:bottom w:w="100" w:type="dxa"/>
              <w:right w:w="100" w:type="dxa"/>
            </w:tcMar>
            <w:vAlign w:val="center"/>
          </w:tcPr>
          <w:p w14:paraId="2496ABDD" w14:textId="77777777" w:rsidR="008A34AE" w:rsidRDefault="00F35562">
            <w:pPr>
              <w:widowControl w:val="0"/>
              <w:pBdr>
                <w:top w:val="nil"/>
                <w:left w:val="nil"/>
                <w:bottom w:val="nil"/>
                <w:right w:val="nil"/>
                <w:between w:val="nil"/>
              </w:pBdr>
              <w:contextualSpacing w:val="0"/>
              <w:jc w:val="center"/>
              <w:rPr>
                <w:color w:val="205968"/>
                <w:sz w:val="20"/>
                <w:szCs w:val="20"/>
              </w:rPr>
            </w:pPr>
            <w:r>
              <w:rPr>
                <w:color w:val="205968"/>
                <w:sz w:val="20"/>
                <w:szCs w:val="20"/>
              </w:rPr>
              <w:t>$10,203,134.1</w:t>
            </w:r>
          </w:p>
        </w:tc>
        <w:tc>
          <w:tcPr>
            <w:tcW w:w="2430" w:type="dxa"/>
            <w:shd w:val="clear" w:color="auto" w:fill="93CDDC"/>
            <w:tcMar>
              <w:top w:w="100" w:type="dxa"/>
              <w:left w:w="100" w:type="dxa"/>
              <w:bottom w:w="100" w:type="dxa"/>
              <w:right w:w="100" w:type="dxa"/>
            </w:tcMar>
            <w:vAlign w:val="center"/>
          </w:tcPr>
          <w:p w14:paraId="434BFED9" w14:textId="77777777" w:rsidR="008A34AE" w:rsidRDefault="00F35562">
            <w:pPr>
              <w:widowControl w:val="0"/>
              <w:pBdr>
                <w:top w:val="nil"/>
                <w:left w:val="nil"/>
                <w:bottom w:val="nil"/>
                <w:right w:val="nil"/>
                <w:between w:val="nil"/>
              </w:pBdr>
              <w:ind w:right="-675"/>
              <w:contextualSpacing w:val="0"/>
              <w:jc w:val="center"/>
              <w:rPr>
                <w:color w:val="205968"/>
                <w:sz w:val="20"/>
                <w:szCs w:val="20"/>
              </w:rPr>
            </w:pPr>
            <w:r>
              <w:rPr>
                <w:color w:val="205968"/>
                <w:sz w:val="20"/>
                <w:szCs w:val="20"/>
              </w:rPr>
              <w:t>FONREC</w:t>
            </w:r>
          </w:p>
        </w:tc>
      </w:tr>
    </w:tbl>
    <w:p w14:paraId="2967506D" w14:textId="0EDC3329" w:rsidR="008A34AE" w:rsidRDefault="00F35562">
      <w:pPr>
        <w:contextualSpacing w:val="0"/>
        <w:rPr>
          <w:color w:val="0000FF"/>
          <w:sz w:val="16"/>
          <w:szCs w:val="16"/>
        </w:rPr>
      </w:pPr>
      <w:r>
        <w:rPr>
          <w:b/>
          <w:color w:val="595959"/>
          <w:sz w:val="16"/>
          <w:szCs w:val="16"/>
        </w:rPr>
        <w:t>Fuente:</w:t>
      </w:r>
      <w:r>
        <w:rPr>
          <w:color w:val="595959"/>
          <w:sz w:val="16"/>
          <w:szCs w:val="16"/>
        </w:rPr>
        <w:t xml:space="preserve"> Elaboración propia con información del micrositio FM-TP, consultada del 3 al 7 de septiembre de 2018</w:t>
      </w:r>
      <w:r w:rsidR="003B7B1D">
        <w:rPr>
          <w:color w:val="595959"/>
          <w:sz w:val="16"/>
          <w:szCs w:val="16"/>
        </w:rPr>
        <w:t>. D</w:t>
      </w:r>
      <w:r>
        <w:rPr>
          <w:color w:val="595959"/>
          <w:sz w:val="16"/>
          <w:szCs w:val="16"/>
        </w:rPr>
        <w:t xml:space="preserve">isponible en: </w:t>
      </w:r>
      <w:hyperlink r:id="rId13">
        <w:r>
          <w:rPr>
            <w:color w:val="1155CC"/>
            <w:sz w:val="16"/>
            <w:szCs w:val="16"/>
            <w:u w:val="single"/>
          </w:rPr>
          <w:t>http://www.transparenciapresupuestaria.gob.mx/es/PTP/fuerzamexico</w:t>
        </w:r>
      </w:hyperlink>
      <w:r w:rsidR="003B7B1D">
        <w:rPr>
          <w:color w:val="1155CC"/>
          <w:sz w:val="16"/>
          <w:szCs w:val="16"/>
          <w:u w:val="single"/>
        </w:rPr>
        <w:t>.</w:t>
      </w:r>
    </w:p>
    <w:p w14:paraId="7B852D87" w14:textId="77777777" w:rsidR="008A34AE" w:rsidRDefault="008A34AE">
      <w:pPr>
        <w:contextualSpacing w:val="0"/>
        <w:jc w:val="both"/>
        <w:rPr>
          <w:color w:val="0000FF"/>
        </w:rPr>
      </w:pPr>
    </w:p>
    <w:p w14:paraId="3F307C45" w14:textId="77777777" w:rsidR="008A34AE" w:rsidRDefault="00F35562">
      <w:pPr>
        <w:ind w:firstLine="720"/>
        <w:contextualSpacing w:val="0"/>
        <w:jc w:val="both"/>
        <w:rPr>
          <w:color w:val="595959"/>
        </w:rPr>
      </w:pPr>
      <w:r>
        <w:rPr>
          <w:color w:val="595959"/>
        </w:rPr>
        <w:t xml:space="preserve">En cuanto al destino de las aportaciones extraordinarias, el portal </w:t>
      </w:r>
      <w:r>
        <w:rPr>
          <w:color w:val="595959"/>
          <w:sz w:val="20"/>
          <w:szCs w:val="20"/>
        </w:rPr>
        <w:t>FM-TP</w:t>
      </w:r>
      <w:r>
        <w:rPr>
          <w:color w:val="595959"/>
        </w:rPr>
        <w:t xml:space="preserve"> informó que las aportaciones extraordinarias al </w:t>
      </w:r>
      <w:r>
        <w:rPr>
          <w:color w:val="595959"/>
          <w:sz w:val="20"/>
          <w:szCs w:val="20"/>
        </w:rPr>
        <w:t>FONDEN</w:t>
      </w:r>
      <w:r>
        <w:rPr>
          <w:color w:val="595959"/>
        </w:rPr>
        <w:t xml:space="preserve"> se aplicarían en acciones de reconstrucción del sector Monumentos Arqueológicos, Artístico</w:t>
      </w:r>
      <w:r w:rsidR="003F5B86">
        <w:rPr>
          <w:color w:val="595959"/>
        </w:rPr>
        <w:t>s</w:t>
      </w:r>
      <w:r>
        <w:rPr>
          <w:color w:val="595959"/>
        </w:rPr>
        <w:t xml:space="preserve"> e Histórico</w:t>
      </w:r>
      <w:r w:rsidR="003F5B86">
        <w:rPr>
          <w:color w:val="595959"/>
        </w:rPr>
        <w:t>s</w:t>
      </w:r>
      <w:r>
        <w:rPr>
          <w:color w:val="595959"/>
        </w:rPr>
        <w:t xml:space="preserve"> en las entidades federativas. Sin embargo, como se mencionó anteriormente</w:t>
      </w:r>
      <w:r w:rsidR="00D062B3">
        <w:rPr>
          <w:color w:val="595959"/>
        </w:rPr>
        <w:t>,</w:t>
      </w:r>
      <w:r>
        <w:rPr>
          <w:color w:val="595959"/>
        </w:rPr>
        <w:t xml:space="preserve"> se carece de información </w:t>
      </w:r>
      <w:r w:rsidR="00D062B3">
        <w:rPr>
          <w:color w:val="595959"/>
        </w:rPr>
        <w:t>acerca</w:t>
      </w:r>
      <w:r>
        <w:rPr>
          <w:color w:val="595959"/>
        </w:rPr>
        <w:t xml:space="preserve"> del estatus de operación de las obras y su avance. La tabla 8 da cuenta de los montos aportados.</w:t>
      </w:r>
    </w:p>
    <w:p w14:paraId="421C3005" w14:textId="77777777" w:rsidR="008A34AE" w:rsidRDefault="008A34AE">
      <w:pPr>
        <w:contextualSpacing w:val="0"/>
        <w:jc w:val="both"/>
        <w:rPr>
          <w:color w:val="FF0000"/>
        </w:rPr>
      </w:pPr>
    </w:p>
    <w:p w14:paraId="4E6AF832" w14:textId="77777777" w:rsidR="008A34AE" w:rsidRDefault="00F35562">
      <w:pPr>
        <w:contextualSpacing w:val="0"/>
        <w:jc w:val="center"/>
        <w:rPr>
          <w:color w:val="595959"/>
          <w:highlight w:val="yellow"/>
        </w:rPr>
      </w:pPr>
      <w:r>
        <w:rPr>
          <w:b/>
          <w:color w:val="595959"/>
          <w:highlight w:val="white"/>
        </w:rPr>
        <w:t xml:space="preserve">Tabla </w:t>
      </w:r>
      <w:r>
        <w:rPr>
          <w:b/>
          <w:color w:val="595959"/>
        </w:rPr>
        <w:t>8.</w:t>
      </w:r>
      <w:r>
        <w:rPr>
          <w:b/>
          <w:color w:val="595959"/>
          <w:highlight w:val="white"/>
        </w:rPr>
        <w:t xml:space="preserve"> Monto de las aportaciones extraordinarias al </w:t>
      </w:r>
      <w:r>
        <w:rPr>
          <w:b/>
          <w:color w:val="595959"/>
          <w:sz w:val="20"/>
          <w:szCs w:val="20"/>
          <w:highlight w:val="white"/>
        </w:rPr>
        <w:t>FONDEN</w:t>
      </w:r>
      <w:r>
        <w:rPr>
          <w:b/>
          <w:color w:val="595959"/>
          <w:highlight w:val="white"/>
        </w:rPr>
        <w:t xml:space="preserve"> otorgadas a entidades federativas para Monumentos Arqueológicos, Artístico</w:t>
      </w:r>
      <w:r w:rsidR="003F5B86">
        <w:rPr>
          <w:b/>
          <w:color w:val="595959"/>
          <w:highlight w:val="white"/>
        </w:rPr>
        <w:t>s</w:t>
      </w:r>
      <w:r>
        <w:rPr>
          <w:b/>
          <w:color w:val="595959"/>
          <w:highlight w:val="white"/>
        </w:rPr>
        <w:t xml:space="preserve"> e Histórico</w:t>
      </w:r>
      <w:r w:rsidR="003F5B86">
        <w:rPr>
          <w:b/>
          <w:color w:val="595959"/>
          <w:highlight w:val="white"/>
        </w:rPr>
        <w:t>s</w:t>
      </w:r>
      <w:r>
        <w:rPr>
          <w:b/>
          <w:color w:val="595959"/>
          <w:highlight w:val="white"/>
        </w:rPr>
        <w:t>.</w:t>
      </w:r>
    </w:p>
    <w:tbl>
      <w:tblPr>
        <w:tblStyle w:val="a6"/>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8A34AE" w14:paraId="7735C3E0" w14:textId="77777777" w:rsidTr="000951BC">
        <w:trPr>
          <w:tblHeader/>
        </w:trPr>
        <w:tc>
          <w:tcPr>
            <w:tcW w:w="4514" w:type="dxa"/>
            <w:shd w:val="clear" w:color="auto" w:fill="205968"/>
            <w:tcMar>
              <w:top w:w="100" w:type="dxa"/>
              <w:left w:w="100" w:type="dxa"/>
              <w:bottom w:w="100" w:type="dxa"/>
              <w:right w:w="100" w:type="dxa"/>
            </w:tcMar>
            <w:vAlign w:val="center"/>
          </w:tcPr>
          <w:p w14:paraId="78C081D5" w14:textId="77777777" w:rsidR="008A34AE" w:rsidRDefault="00F35562">
            <w:pPr>
              <w:widowControl w:val="0"/>
              <w:pBdr>
                <w:top w:val="nil"/>
                <w:left w:val="nil"/>
                <w:bottom w:val="nil"/>
                <w:right w:val="nil"/>
                <w:between w:val="nil"/>
              </w:pBdr>
              <w:spacing w:line="240" w:lineRule="auto"/>
              <w:contextualSpacing w:val="0"/>
              <w:jc w:val="center"/>
              <w:rPr>
                <w:b/>
                <w:color w:val="FFFFFF"/>
                <w:sz w:val="20"/>
                <w:szCs w:val="20"/>
              </w:rPr>
            </w:pPr>
            <w:r>
              <w:rPr>
                <w:b/>
                <w:color w:val="FFFFFF"/>
                <w:sz w:val="20"/>
                <w:szCs w:val="20"/>
              </w:rPr>
              <w:t>Entidad federativa</w:t>
            </w:r>
          </w:p>
        </w:tc>
        <w:tc>
          <w:tcPr>
            <w:tcW w:w="4515" w:type="dxa"/>
            <w:shd w:val="clear" w:color="auto" w:fill="205968"/>
            <w:tcMar>
              <w:top w:w="100" w:type="dxa"/>
              <w:left w:w="100" w:type="dxa"/>
              <w:bottom w:w="100" w:type="dxa"/>
              <w:right w:w="100" w:type="dxa"/>
            </w:tcMar>
            <w:vAlign w:val="center"/>
          </w:tcPr>
          <w:p w14:paraId="0C41C942" w14:textId="77777777" w:rsidR="008A34AE" w:rsidRDefault="00F35562">
            <w:pPr>
              <w:contextualSpacing w:val="0"/>
              <w:jc w:val="center"/>
              <w:rPr>
                <w:b/>
                <w:color w:val="FFFFFF"/>
                <w:sz w:val="20"/>
                <w:szCs w:val="20"/>
              </w:rPr>
            </w:pPr>
            <w:r>
              <w:rPr>
                <w:b/>
                <w:color w:val="FFFFFF"/>
                <w:sz w:val="20"/>
                <w:szCs w:val="20"/>
              </w:rPr>
              <w:t>Monto</w:t>
            </w:r>
          </w:p>
          <w:p w14:paraId="52D2ACA3" w14:textId="77777777" w:rsidR="008A34AE" w:rsidRDefault="00F35562">
            <w:pPr>
              <w:contextualSpacing w:val="0"/>
              <w:jc w:val="center"/>
              <w:rPr>
                <w:b/>
                <w:color w:val="FFFFFF"/>
                <w:sz w:val="20"/>
                <w:szCs w:val="20"/>
              </w:rPr>
            </w:pPr>
            <w:r>
              <w:rPr>
                <w:b/>
                <w:color w:val="FFFFFF"/>
                <w:sz w:val="20"/>
                <w:szCs w:val="20"/>
              </w:rPr>
              <w:t>(pesos)</w:t>
            </w:r>
          </w:p>
        </w:tc>
      </w:tr>
      <w:tr w:rsidR="008A34AE" w14:paraId="3B714CFA" w14:textId="77777777">
        <w:tc>
          <w:tcPr>
            <w:tcW w:w="4514" w:type="dxa"/>
            <w:shd w:val="clear" w:color="auto" w:fill="31849B"/>
            <w:tcMar>
              <w:top w:w="100" w:type="dxa"/>
              <w:left w:w="100" w:type="dxa"/>
              <w:bottom w:w="100" w:type="dxa"/>
              <w:right w:w="100" w:type="dxa"/>
            </w:tcMar>
            <w:vAlign w:val="center"/>
          </w:tcPr>
          <w:p w14:paraId="64A86055" w14:textId="77777777" w:rsidR="008A34AE" w:rsidRDefault="00F35562">
            <w:pPr>
              <w:widowControl w:val="0"/>
              <w:pBdr>
                <w:top w:val="nil"/>
                <w:left w:val="nil"/>
                <w:bottom w:val="nil"/>
                <w:right w:val="nil"/>
                <w:between w:val="nil"/>
              </w:pBdr>
              <w:spacing w:line="240" w:lineRule="auto"/>
              <w:contextualSpacing w:val="0"/>
              <w:rPr>
                <w:color w:val="FFFFFF"/>
                <w:sz w:val="20"/>
                <w:szCs w:val="20"/>
              </w:rPr>
            </w:pPr>
            <w:r>
              <w:rPr>
                <w:color w:val="FFFFFF"/>
                <w:sz w:val="20"/>
                <w:szCs w:val="20"/>
              </w:rPr>
              <w:t>Chiapas</w:t>
            </w:r>
          </w:p>
        </w:tc>
        <w:tc>
          <w:tcPr>
            <w:tcW w:w="4515" w:type="dxa"/>
            <w:shd w:val="clear" w:color="auto" w:fill="93CDDC"/>
            <w:tcMar>
              <w:top w:w="100" w:type="dxa"/>
              <w:left w:w="100" w:type="dxa"/>
              <w:bottom w:w="100" w:type="dxa"/>
              <w:right w:w="100" w:type="dxa"/>
            </w:tcMar>
            <w:vAlign w:val="center"/>
          </w:tcPr>
          <w:p w14:paraId="2A8495BD" w14:textId="77777777" w:rsidR="008A34AE" w:rsidRDefault="00F35562">
            <w:pPr>
              <w:contextualSpacing w:val="0"/>
              <w:jc w:val="center"/>
              <w:rPr>
                <w:color w:val="205968"/>
                <w:sz w:val="20"/>
                <w:szCs w:val="20"/>
              </w:rPr>
            </w:pPr>
            <w:r>
              <w:rPr>
                <w:color w:val="205968"/>
                <w:sz w:val="20"/>
                <w:szCs w:val="20"/>
              </w:rPr>
              <w:t>$ 428,137,631.60</w:t>
            </w:r>
          </w:p>
        </w:tc>
      </w:tr>
      <w:tr w:rsidR="008A34AE" w14:paraId="4D598DAE" w14:textId="77777777">
        <w:tc>
          <w:tcPr>
            <w:tcW w:w="4514" w:type="dxa"/>
            <w:shd w:val="clear" w:color="auto" w:fill="31849B"/>
            <w:tcMar>
              <w:top w:w="100" w:type="dxa"/>
              <w:left w:w="100" w:type="dxa"/>
              <w:bottom w:w="100" w:type="dxa"/>
              <w:right w:w="100" w:type="dxa"/>
            </w:tcMar>
            <w:vAlign w:val="center"/>
          </w:tcPr>
          <w:p w14:paraId="04A2DA15" w14:textId="77777777" w:rsidR="008A34AE" w:rsidRDefault="00F35562">
            <w:pPr>
              <w:widowControl w:val="0"/>
              <w:pBdr>
                <w:top w:val="nil"/>
                <w:left w:val="nil"/>
                <w:bottom w:val="nil"/>
                <w:right w:val="nil"/>
                <w:between w:val="nil"/>
              </w:pBdr>
              <w:spacing w:line="240" w:lineRule="auto"/>
              <w:contextualSpacing w:val="0"/>
              <w:rPr>
                <w:color w:val="FFFFFF"/>
                <w:sz w:val="20"/>
                <w:szCs w:val="20"/>
              </w:rPr>
            </w:pPr>
            <w:r>
              <w:rPr>
                <w:color w:val="FFFFFF"/>
                <w:sz w:val="20"/>
                <w:szCs w:val="20"/>
              </w:rPr>
              <w:t>Ciudad de México</w:t>
            </w:r>
          </w:p>
        </w:tc>
        <w:tc>
          <w:tcPr>
            <w:tcW w:w="4515" w:type="dxa"/>
            <w:shd w:val="clear" w:color="auto" w:fill="93CDDC"/>
            <w:tcMar>
              <w:top w:w="100" w:type="dxa"/>
              <w:left w:w="100" w:type="dxa"/>
              <w:bottom w:w="100" w:type="dxa"/>
              <w:right w:w="100" w:type="dxa"/>
            </w:tcMar>
            <w:vAlign w:val="center"/>
          </w:tcPr>
          <w:p w14:paraId="76950123"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$ 293,569,886.20</w:t>
            </w:r>
          </w:p>
        </w:tc>
      </w:tr>
      <w:tr w:rsidR="008A34AE" w14:paraId="5D10C28E" w14:textId="77777777">
        <w:tc>
          <w:tcPr>
            <w:tcW w:w="4514" w:type="dxa"/>
            <w:shd w:val="clear" w:color="auto" w:fill="31849B"/>
            <w:tcMar>
              <w:top w:w="100" w:type="dxa"/>
              <w:left w:w="100" w:type="dxa"/>
              <w:bottom w:w="100" w:type="dxa"/>
              <w:right w:w="100" w:type="dxa"/>
            </w:tcMar>
            <w:vAlign w:val="center"/>
          </w:tcPr>
          <w:p w14:paraId="7F9D30B0" w14:textId="77777777" w:rsidR="008A34AE" w:rsidRDefault="00F35562">
            <w:pPr>
              <w:widowControl w:val="0"/>
              <w:pBdr>
                <w:top w:val="nil"/>
                <w:left w:val="nil"/>
                <w:bottom w:val="nil"/>
                <w:right w:val="nil"/>
                <w:between w:val="nil"/>
              </w:pBdr>
              <w:spacing w:line="240" w:lineRule="auto"/>
              <w:contextualSpacing w:val="0"/>
              <w:rPr>
                <w:color w:val="FFFFFF"/>
                <w:sz w:val="20"/>
                <w:szCs w:val="20"/>
              </w:rPr>
            </w:pPr>
            <w:r>
              <w:rPr>
                <w:color w:val="FFFFFF"/>
                <w:sz w:val="20"/>
                <w:szCs w:val="20"/>
              </w:rPr>
              <w:t>Estado de México</w:t>
            </w:r>
          </w:p>
        </w:tc>
        <w:tc>
          <w:tcPr>
            <w:tcW w:w="4515" w:type="dxa"/>
            <w:shd w:val="clear" w:color="auto" w:fill="93CDDC"/>
            <w:tcMar>
              <w:top w:w="100" w:type="dxa"/>
              <w:left w:w="100" w:type="dxa"/>
              <w:bottom w:w="100" w:type="dxa"/>
              <w:right w:w="100" w:type="dxa"/>
            </w:tcMar>
            <w:vAlign w:val="center"/>
          </w:tcPr>
          <w:p w14:paraId="4C61C008"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$ 127,219,612.00</w:t>
            </w:r>
          </w:p>
        </w:tc>
      </w:tr>
      <w:tr w:rsidR="008A34AE" w14:paraId="3C58D7C1" w14:textId="77777777">
        <w:tc>
          <w:tcPr>
            <w:tcW w:w="4514" w:type="dxa"/>
            <w:shd w:val="clear" w:color="auto" w:fill="31849B"/>
            <w:tcMar>
              <w:top w:w="100" w:type="dxa"/>
              <w:left w:w="100" w:type="dxa"/>
              <w:bottom w:w="100" w:type="dxa"/>
              <w:right w:w="100" w:type="dxa"/>
            </w:tcMar>
            <w:vAlign w:val="center"/>
          </w:tcPr>
          <w:p w14:paraId="67049EA5" w14:textId="77777777" w:rsidR="008A34AE" w:rsidRDefault="00F35562">
            <w:pPr>
              <w:widowControl w:val="0"/>
              <w:pBdr>
                <w:top w:val="nil"/>
                <w:left w:val="nil"/>
                <w:bottom w:val="nil"/>
                <w:right w:val="nil"/>
                <w:between w:val="nil"/>
              </w:pBdr>
              <w:spacing w:line="240" w:lineRule="auto"/>
              <w:contextualSpacing w:val="0"/>
              <w:rPr>
                <w:color w:val="FFFFFF"/>
                <w:sz w:val="20"/>
                <w:szCs w:val="20"/>
              </w:rPr>
            </w:pPr>
            <w:r>
              <w:rPr>
                <w:color w:val="FFFFFF"/>
                <w:sz w:val="20"/>
                <w:szCs w:val="20"/>
              </w:rPr>
              <w:t>Guerrero</w:t>
            </w:r>
          </w:p>
        </w:tc>
        <w:tc>
          <w:tcPr>
            <w:tcW w:w="4515" w:type="dxa"/>
            <w:shd w:val="clear" w:color="auto" w:fill="93CDDC"/>
            <w:tcMar>
              <w:top w:w="100" w:type="dxa"/>
              <w:left w:w="100" w:type="dxa"/>
              <w:bottom w:w="100" w:type="dxa"/>
              <w:right w:w="100" w:type="dxa"/>
            </w:tcMar>
            <w:vAlign w:val="center"/>
          </w:tcPr>
          <w:p w14:paraId="374710B6"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$ 196,661,032.70</w:t>
            </w:r>
          </w:p>
        </w:tc>
      </w:tr>
      <w:tr w:rsidR="008A34AE" w14:paraId="190721E5" w14:textId="77777777">
        <w:tc>
          <w:tcPr>
            <w:tcW w:w="4514" w:type="dxa"/>
            <w:shd w:val="clear" w:color="auto" w:fill="31849B"/>
            <w:tcMar>
              <w:top w:w="100" w:type="dxa"/>
              <w:left w:w="100" w:type="dxa"/>
              <w:bottom w:w="100" w:type="dxa"/>
              <w:right w:w="100" w:type="dxa"/>
            </w:tcMar>
            <w:vAlign w:val="center"/>
          </w:tcPr>
          <w:p w14:paraId="3759E573" w14:textId="77777777" w:rsidR="008A34AE" w:rsidRDefault="00F35562">
            <w:pPr>
              <w:widowControl w:val="0"/>
              <w:pBdr>
                <w:top w:val="nil"/>
                <w:left w:val="nil"/>
                <w:bottom w:val="nil"/>
                <w:right w:val="nil"/>
                <w:between w:val="nil"/>
              </w:pBdr>
              <w:spacing w:line="240" w:lineRule="auto"/>
              <w:contextualSpacing w:val="0"/>
              <w:rPr>
                <w:color w:val="FFFFFF"/>
                <w:sz w:val="20"/>
                <w:szCs w:val="20"/>
              </w:rPr>
            </w:pPr>
            <w:r>
              <w:rPr>
                <w:color w:val="FFFFFF"/>
                <w:sz w:val="20"/>
                <w:szCs w:val="20"/>
              </w:rPr>
              <w:t>Morelos</w:t>
            </w:r>
          </w:p>
        </w:tc>
        <w:tc>
          <w:tcPr>
            <w:tcW w:w="4515" w:type="dxa"/>
            <w:shd w:val="clear" w:color="auto" w:fill="93CDDC"/>
            <w:tcMar>
              <w:top w:w="100" w:type="dxa"/>
              <w:left w:w="100" w:type="dxa"/>
              <w:bottom w:w="100" w:type="dxa"/>
              <w:right w:w="100" w:type="dxa"/>
            </w:tcMar>
            <w:vAlign w:val="center"/>
          </w:tcPr>
          <w:p w14:paraId="0EC43A8E"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$ 256,975,360.20</w:t>
            </w:r>
          </w:p>
        </w:tc>
      </w:tr>
      <w:tr w:rsidR="008A34AE" w14:paraId="6E941547" w14:textId="77777777">
        <w:tc>
          <w:tcPr>
            <w:tcW w:w="4514" w:type="dxa"/>
            <w:shd w:val="clear" w:color="auto" w:fill="31849B"/>
            <w:tcMar>
              <w:top w:w="100" w:type="dxa"/>
              <w:left w:w="100" w:type="dxa"/>
              <w:bottom w:w="100" w:type="dxa"/>
              <w:right w:w="100" w:type="dxa"/>
            </w:tcMar>
            <w:vAlign w:val="center"/>
          </w:tcPr>
          <w:p w14:paraId="41AC0C88" w14:textId="77777777" w:rsidR="008A34AE" w:rsidRDefault="00F35562">
            <w:pPr>
              <w:widowControl w:val="0"/>
              <w:pBdr>
                <w:top w:val="nil"/>
                <w:left w:val="nil"/>
                <w:bottom w:val="nil"/>
                <w:right w:val="nil"/>
                <w:between w:val="nil"/>
              </w:pBdr>
              <w:spacing w:line="240" w:lineRule="auto"/>
              <w:contextualSpacing w:val="0"/>
              <w:rPr>
                <w:color w:val="FFFFFF"/>
                <w:sz w:val="20"/>
                <w:szCs w:val="20"/>
              </w:rPr>
            </w:pPr>
            <w:r>
              <w:rPr>
                <w:color w:val="FFFFFF"/>
                <w:sz w:val="20"/>
                <w:szCs w:val="20"/>
              </w:rPr>
              <w:t>Oaxaca</w:t>
            </w:r>
          </w:p>
        </w:tc>
        <w:tc>
          <w:tcPr>
            <w:tcW w:w="4515" w:type="dxa"/>
            <w:shd w:val="clear" w:color="auto" w:fill="93CDDC"/>
            <w:tcMar>
              <w:top w:w="100" w:type="dxa"/>
              <w:left w:w="100" w:type="dxa"/>
              <w:bottom w:w="100" w:type="dxa"/>
              <w:right w:w="100" w:type="dxa"/>
            </w:tcMar>
            <w:vAlign w:val="center"/>
          </w:tcPr>
          <w:p w14:paraId="00699C0B"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$ 432,910,384</w:t>
            </w:r>
          </w:p>
        </w:tc>
      </w:tr>
      <w:tr w:rsidR="008A34AE" w14:paraId="0C23C0CA" w14:textId="77777777">
        <w:tc>
          <w:tcPr>
            <w:tcW w:w="4514" w:type="dxa"/>
            <w:shd w:val="clear" w:color="auto" w:fill="31849B"/>
            <w:tcMar>
              <w:top w:w="100" w:type="dxa"/>
              <w:left w:w="100" w:type="dxa"/>
              <w:bottom w:w="100" w:type="dxa"/>
              <w:right w:w="100" w:type="dxa"/>
            </w:tcMar>
            <w:vAlign w:val="center"/>
          </w:tcPr>
          <w:p w14:paraId="42014958" w14:textId="77777777" w:rsidR="008A34AE" w:rsidRDefault="00F35562">
            <w:pPr>
              <w:widowControl w:val="0"/>
              <w:pBdr>
                <w:top w:val="nil"/>
                <w:left w:val="nil"/>
                <w:bottom w:val="nil"/>
                <w:right w:val="nil"/>
                <w:between w:val="nil"/>
              </w:pBdr>
              <w:spacing w:line="240" w:lineRule="auto"/>
              <w:contextualSpacing w:val="0"/>
              <w:rPr>
                <w:color w:val="FFFFFF"/>
                <w:sz w:val="20"/>
                <w:szCs w:val="20"/>
              </w:rPr>
            </w:pPr>
            <w:r>
              <w:rPr>
                <w:color w:val="FFFFFF"/>
                <w:sz w:val="20"/>
                <w:szCs w:val="20"/>
              </w:rPr>
              <w:t>Puebla</w:t>
            </w:r>
          </w:p>
        </w:tc>
        <w:tc>
          <w:tcPr>
            <w:tcW w:w="4515" w:type="dxa"/>
            <w:shd w:val="clear" w:color="auto" w:fill="93CDDC"/>
            <w:tcMar>
              <w:top w:w="100" w:type="dxa"/>
              <w:left w:w="100" w:type="dxa"/>
              <w:bottom w:w="100" w:type="dxa"/>
              <w:right w:w="100" w:type="dxa"/>
            </w:tcMar>
            <w:vAlign w:val="center"/>
          </w:tcPr>
          <w:p w14:paraId="46678345"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$ 515,137,265</w:t>
            </w:r>
          </w:p>
        </w:tc>
      </w:tr>
      <w:tr w:rsidR="008A34AE" w14:paraId="71F39FDE" w14:textId="77777777">
        <w:tc>
          <w:tcPr>
            <w:tcW w:w="4514" w:type="dxa"/>
            <w:shd w:val="clear" w:color="auto" w:fill="31849B"/>
            <w:tcMar>
              <w:top w:w="100" w:type="dxa"/>
              <w:left w:w="100" w:type="dxa"/>
              <w:bottom w:w="100" w:type="dxa"/>
              <w:right w:w="100" w:type="dxa"/>
            </w:tcMar>
            <w:vAlign w:val="center"/>
          </w:tcPr>
          <w:p w14:paraId="52A7CD3D" w14:textId="77777777" w:rsidR="008A34AE" w:rsidRDefault="00F35562">
            <w:pPr>
              <w:widowControl w:val="0"/>
              <w:pBdr>
                <w:top w:val="nil"/>
                <w:left w:val="nil"/>
                <w:bottom w:val="nil"/>
                <w:right w:val="nil"/>
                <w:between w:val="nil"/>
              </w:pBdr>
              <w:spacing w:line="240" w:lineRule="auto"/>
              <w:contextualSpacing w:val="0"/>
              <w:rPr>
                <w:color w:val="FFFFFF"/>
                <w:sz w:val="20"/>
                <w:szCs w:val="20"/>
              </w:rPr>
            </w:pPr>
            <w:r>
              <w:rPr>
                <w:color w:val="FFFFFF"/>
                <w:sz w:val="20"/>
                <w:szCs w:val="20"/>
              </w:rPr>
              <w:t>Tlaxcala</w:t>
            </w:r>
          </w:p>
        </w:tc>
        <w:tc>
          <w:tcPr>
            <w:tcW w:w="4515" w:type="dxa"/>
            <w:shd w:val="clear" w:color="auto" w:fill="93CDDC"/>
            <w:tcMar>
              <w:top w:w="100" w:type="dxa"/>
              <w:left w:w="100" w:type="dxa"/>
              <w:bottom w:w="100" w:type="dxa"/>
              <w:right w:w="100" w:type="dxa"/>
            </w:tcMar>
            <w:vAlign w:val="center"/>
          </w:tcPr>
          <w:p w14:paraId="0A797E6C"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$ 162,037,822</w:t>
            </w:r>
          </w:p>
        </w:tc>
      </w:tr>
      <w:tr w:rsidR="008A34AE" w14:paraId="7C92BF3A" w14:textId="77777777">
        <w:tc>
          <w:tcPr>
            <w:tcW w:w="4514" w:type="dxa"/>
            <w:shd w:val="clear" w:color="auto" w:fill="205968"/>
            <w:tcMar>
              <w:top w:w="100" w:type="dxa"/>
              <w:left w:w="100" w:type="dxa"/>
              <w:bottom w:w="100" w:type="dxa"/>
              <w:right w:w="100" w:type="dxa"/>
            </w:tcMar>
          </w:tcPr>
          <w:p w14:paraId="2A48EF0D" w14:textId="77777777" w:rsidR="008A34AE" w:rsidRDefault="00F35562">
            <w:pPr>
              <w:widowControl w:val="0"/>
              <w:pBdr>
                <w:top w:val="nil"/>
                <w:left w:val="nil"/>
                <w:bottom w:val="nil"/>
                <w:right w:val="nil"/>
                <w:between w:val="nil"/>
              </w:pBdr>
              <w:spacing w:line="240" w:lineRule="auto"/>
              <w:contextualSpacing w:val="0"/>
              <w:rPr>
                <w:b/>
                <w:color w:val="FFFFFF"/>
                <w:sz w:val="20"/>
                <w:szCs w:val="20"/>
              </w:rPr>
            </w:pPr>
            <w:r>
              <w:rPr>
                <w:b/>
                <w:color w:val="FFFFFF"/>
                <w:sz w:val="20"/>
                <w:szCs w:val="20"/>
              </w:rPr>
              <w:t>Total</w:t>
            </w:r>
          </w:p>
        </w:tc>
        <w:tc>
          <w:tcPr>
            <w:tcW w:w="4515" w:type="dxa"/>
            <w:shd w:val="clear" w:color="auto" w:fill="205968"/>
            <w:tcMar>
              <w:top w:w="100" w:type="dxa"/>
              <w:left w:w="100" w:type="dxa"/>
              <w:bottom w:w="100" w:type="dxa"/>
              <w:right w:w="100" w:type="dxa"/>
            </w:tcMar>
          </w:tcPr>
          <w:p w14:paraId="4B0792AC" w14:textId="77777777" w:rsidR="008A34AE" w:rsidRDefault="00F35562">
            <w:pPr>
              <w:widowControl w:val="0"/>
              <w:pBdr>
                <w:top w:val="nil"/>
                <w:left w:val="nil"/>
                <w:bottom w:val="nil"/>
                <w:right w:val="nil"/>
                <w:between w:val="nil"/>
              </w:pBdr>
              <w:shd w:val="clear" w:color="auto" w:fill="205968"/>
              <w:spacing w:line="240" w:lineRule="auto"/>
              <w:contextualSpacing w:val="0"/>
              <w:jc w:val="center"/>
              <w:rPr>
                <w:b/>
                <w:color w:val="FFFFFF"/>
                <w:sz w:val="20"/>
                <w:szCs w:val="20"/>
              </w:rPr>
            </w:pPr>
            <w:r>
              <w:rPr>
                <w:b/>
                <w:color w:val="FFFFFF"/>
                <w:sz w:val="20"/>
                <w:szCs w:val="20"/>
              </w:rPr>
              <w:t>$ 2,412,648,995</w:t>
            </w:r>
          </w:p>
        </w:tc>
      </w:tr>
    </w:tbl>
    <w:p w14:paraId="24BEFFBF" w14:textId="30A355EE" w:rsidR="008A34AE" w:rsidRDefault="00F35562">
      <w:pPr>
        <w:contextualSpacing w:val="0"/>
        <w:rPr>
          <w:color w:val="0000FF"/>
          <w:sz w:val="16"/>
          <w:szCs w:val="16"/>
        </w:rPr>
      </w:pPr>
      <w:r>
        <w:rPr>
          <w:b/>
          <w:color w:val="595959"/>
          <w:sz w:val="16"/>
          <w:szCs w:val="16"/>
        </w:rPr>
        <w:t>Fuente:</w:t>
      </w:r>
      <w:r>
        <w:rPr>
          <w:color w:val="595959"/>
          <w:sz w:val="16"/>
          <w:szCs w:val="16"/>
        </w:rPr>
        <w:t xml:space="preserve"> Elaboración propia con información del micrositio FM-TP, consultada del 3 al 7 de septiembre de 2018</w:t>
      </w:r>
      <w:r w:rsidR="003B7B1D">
        <w:rPr>
          <w:color w:val="595959"/>
          <w:sz w:val="16"/>
          <w:szCs w:val="16"/>
        </w:rPr>
        <w:t>. D</w:t>
      </w:r>
      <w:r>
        <w:rPr>
          <w:color w:val="595959"/>
          <w:sz w:val="16"/>
          <w:szCs w:val="16"/>
        </w:rPr>
        <w:t xml:space="preserve">isponible en: </w:t>
      </w:r>
      <w:hyperlink r:id="rId14">
        <w:r>
          <w:rPr>
            <w:color w:val="1155CC"/>
            <w:sz w:val="16"/>
            <w:szCs w:val="16"/>
            <w:u w:val="single"/>
          </w:rPr>
          <w:t>http://www.transparenciapresupuestaria.gob.mx/es/PTP/fuerzamexico</w:t>
        </w:r>
      </w:hyperlink>
      <w:r w:rsidR="003B7B1D">
        <w:rPr>
          <w:color w:val="1155CC"/>
          <w:sz w:val="16"/>
          <w:szCs w:val="16"/>
          <w:u w:val="single"/>
        </w:rPr>
        <w:t>.</w:t>
      </w:r>
    </w:p>
    <w:p w14:paraId="4E65F69C" w14:textId="77777777" w:rsidR="008A34AE" w:rsidRDefault="008A34AE">
      <w:pPr>
        <w:contextualSpacing w:val="0"/>
        <w:jc w:val="both"/>
        <w:rPr>
          <w:color w:val="0000FF"/>
        </w:rPr>
      </w:pPr>
    </w:p>
    <w:p w14:paraId="38B2AFAA" w14:textId="77777777" w:rsidR="008A34AE" w:rsidRDefault="003F5B86">
      <w:pPr>
        <w:ind w:firstLine="720"/>
        <w:contextualSpacing w:val="0"/>
        <w:jc w:val="both"/>
        <w:rPr>
          <w:color w:val="595959"/>
        </w:rPr>
      </w:pPr>
      <w:r>
        <w:rPr>
          <w:color w:val="595959"/>
        </w:rPr>
        <w:lastRenderedPageBreak/>
        <w:t>R</w:t>
      </w:r>
      <w:r w:rsidR="00F35562">
        <w:rPr>
          <w:color w:val="595959"/>
        </w:rPr>
        <w:t xml:space="preserve">especto </w:t>
      </w:r>
      <w:r>
        <w:rPr>
          <w:color w:val="595959"/>
        </w:rPr>
        <w:t>a</w:t>
      </w:r>
      <w:r w:rsidR="00F35562">
        <w:rPr>
          <w:color w:val="595959"/>
        </w:rPr>
        <w:t xml:space="preserve"> las aportaciones que los partidos políticos eligieron enviar al </w:t>
      </w:r>
      <w:r w:rsidR="00F35562">
        <w:rPr>
          <w:color w:val="595959"/>
          <w:sz w:val="20"/>
          <w:szCs w:val="20"/>
        </w:rPr>
        <w:t>FONREC</w:t>
      </w:r>
      <w:r w:rsidR="00F35562">
        <w:rPr>
          <w:color w:val="595959"/>
          <w:sz w:val="20"/>
          <w:szCs w:val="20"/>
          <w:vertAlign w:val="superscript"/>
        </w:rPr>
        <w:footnoteReference w:id="7"/>
      </w:r>
      <w:r w:rsidR="00F35562">
        <w:rPr>
          <w:color w:val="595959"/>
        </w:rPr>
        <w:t xml:space="preserve">, el portal </w:t>
      </w:r>
      <w:r w:rsidR="00F35562">
        <w:rPr>
          <w:color w:val="595959"/>
          <w:sz w:val="20"/>
          <w:szCs w:val="20"/>
        </w:rPr>
        <w:t>FM-TP</w:t>
      </w:r>
      <w:r w:rsidR="00F35562">
        <w:rPr>
          <w:color w:val="595959"/>
        </w:rPr>
        <w:t xml:space="preserve"> informó que </w:t>
      </w:r>
      <w:r w:rsidR="00F35562">
        <w:rPr>
          <w:color w:val="595959"/>
          <w:sz w:val="20"/>
          <w:szCs w:val="20"/>
        </w:rPr>
        <w:t>“se aplicarán en las obras de reconstrucción en las entidades federativas afectadas, a través de la Adquisición de Bonos Cupón Cero, al amparo de los créditos autorizados a los gobiernos estatales, en el marco del Programa de Financiamiento para la Reconstrucción de Entidades Federativas para potenciar los recursos que se destinen a la atención de los daños”</w:t>
      </w:r>
      <w:r w:rsidR="00F35562">
        <w:rPr>
          <w:color w:val="595959"/>
        </w:rPr>
        <w:t xml:space="preserve">. </w:t>
      </w:r>
    </w:p>
    <w:p w14:paraId="3A09E34D" w14:textId="77777777" w:rsidR="008A34AE" w:rsidRDefault="00F35562">
      <w:pPr>
        <w:ind w:firstLine="720"/>
        <w:contextualSpacing w:val="0"/>
        <w:jc w:val="both"/>
        <w:rPr>
          <w:color w:val="0000FF"/>
        </w:rPr>
      </w:pPr>
      <w:r>
        <w:rPr>
          <w:color w:val="595959"/>
        </w:rPr>
        <w:t xml:space="preserve">Sobre esto, no existe información pública de qué entidades federativas </w:t>
      </w:r>
      <w:r w:rsidR="003F5B86">
        <w:rPr>
          <w:color w:val="595959"/>
        </w:rPr>
        <w:t>pidieron</w:t>
      </w:r>
      <w:r>
        <w:rPr>
          <w:color w:val="595959"/>
        </w:rPr>
        <w:t xml:space="preserve"> apoyos financieros, por lo que, a través de </w:t>
      </w:r>
      <w:r w:rsidR="003F5B86">
        <w:rPr>
          <w:color w:val="595959"/>
        </w:rPr>
        <w:t xml:space="preserve">una </w:t>
      </w:r>
      <w:r>
        <w:rPr>
          <w:color w:val="595959"/>
        </w:rPr>
        <w:t xml:space="preserve">solicitud de información, Banobras </w:t>
      </w:r>
      <w:r w:rsidR="003F5B86">
        <w:rPr>
          <w:color w:val="595959"/>
        </w:rPr>
        <w:t>señaló</w:t>
      </w:r>
      <w:r>
        <w:rPr>
          <w:color w:val="595959"/>
        </w:rPr>
        <w:t xml:space="preserve"> que tres entidades federativas contrataron créditos durante los ejercicios 2017 y 2018. Los datos se concentran en la tabla 9. </w:t>
      </w:r>
    </w:p>
    <w:p w14:paraId="2861D2F2" w14:textId="77777777" w:rsidR="008A34AE" w:rsidRDefault="008A34AE">
      <w:pPr>
        <w:contextualSpacing w:val="0"/>
        <w:jc w:val="both"/>
        <w:rPr>
          <w:color w:val="595959"/>
        </w:rPr>
      </w:pPr>
    </w:p>
    <w:p w14:paraId="4BE65CD0" w14:textId="77777777" w:rsidR="008A34AE" w:rsidRDefault="00F35562">
      <w:pPr>
        <w:contextualSpacing w:val="0"/>
        <w:jc w:val="center"/>
        <w:rPr>
          <w:color w:val="595959"/>
          <w:sz w:val="20"/>
          <w:szCs w:val="20"/>
        </w:rPr>
      </w:pPr>
      <w:r>
        <w:rPr>
          <w:b/>
          <w:color w:val="595959"/>
          <w:highlight w:val="white"/>
        </w:rPr>
        <w:t xml:space="preserve">Tabla </w:t>
      </w:r>
      <w:r>
        <w:rPr>
          <w:b/>
          <w:color w:val="595959"/>
        </w:rPr>
        <w:t xml:space="preserve">9. </w:t>
      </w:r>
      <w:r>
        <w:rPr>
          <w:b/>
          <w:color w:val="595959"/>
          <w:highlight w:val="white"/>
        </w:rPr>
        <w:t xml:space="preserve">Montos, intereses y aplicación de las líneas de crédito otorgadas a tres entidades federativas por parte del </w:t>
      </w:r>
      <w:r>
        <w:rPr>
          <w:b/>
          <w:color w:val="595959"/>
          <w:sz w:val="20"/>
          <w:szCs w:val="20"/>
          <w:highlight w:val="white"/>
        </w:rPr>
        <w:t>FONREC</w:t>
      </w:r>
    </w:p>
    <w:tbl>
      <w:tblPr>
        <w:tblStyle w:val="a7"/>
        <w:tblW w:w="90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2130"/>
        <w:gridCol w:w="2340"/>
        <w:gridCol w:w="2160"/>
      </w:tblGrid>
      <w:tr w:rsidR="008A34AE" w14:paraId="7412D663" w14:textId="77777777" w:rsidTr="000951BC">
        <w:trPr>
          <w:trHeight w:val="420"/>
          <w:tblHeader/>
        </w:trPr>
        <w:tc>
          <w:tcPr>
            <w:tcW w:w="2400" w:type="dxa"/>
            <w:vMerge w:val="restart"/>
            <w:shd w:val="clear" w:color="auto" w:fill="205968"/>
            <w:tcMar>
              <w:top w:w="100" w:type="dxa"/>
              <w:left w:w="100" w:type="dxa"/>
              <w:bottom w:w="100" w:type="dxa"/>
              <w:right w:w="100" w:type="dxa"/>
            </w:tcMar>
            <w:vAlign w:val="center"/>
          </w:tcPr>
          <w:p w14:paraId="5F837BAA" w14:textId="77777777" w:rsidR="008A34AE" w:rsidRDefault="00F35562">
            <w:pPr>
              <w:widowControl w:val="0"/>
              <w:spacing w:line="240" w:lineRule="auto"/>
              <w:contextualSpacing w:val="0"/>
              <w:jc w:val="center"/>
              <w:rPr>
                <w:b/>
                <w:color w:val="FFFFFF"/>
              </w:rPr>
            </w:pPr>
            <w:r>
              <w:rPr>
                <w:b/>
                <w:color w:val="FFFFFF"/>
              </w:rPr>
              <w:t>Rubro</w:t>
            </w:r>
          </w:p>
        </w:tc>
        <w:tc>
          <w:tcPr>
            <w:tcW w:w="6630" w:type="dxa"/>
            <w:gridSpan w:val="3"/>
            <w:shd w:val="clear" w:color="auto" w:fill="205968"/>
            <w:tcMar>
              <w:top w:w="100" w:type="dxa"/>
              <w:left w:w="100" w:type="dxa"/>
              <w:bottom w:w="100" w:type="dxa"/>
              <w:right w:w="100" w:type="dxa"/>
            </w:tcMar>
            <w:vAlign w:val="center"/>
          </w:tcPr>
          <w:p w14:paraId="522C1C5F" w14:textId="77777777" w:rsidR="008A34AE" w:rsidRDefault="00F35562">
            <w:pPr>
              <w:widowControl w:val="0"/>
              <w:spacing w:line="240" w:lineRule="auto"/>
              <w:contextualSpacing w:val="0"/>
              <w:jc w:val="center"/>
              <w:rPr>
                <w:b/>
                <w:color w:val="FFFFFF"/>
              </w:rPr>
            </w:pPr>
            <w:r>
              <w:rPr>
                <w:b/>
                <w:color w:val="FFFFFF"/>
              </w:rPr>
              <w:t xml:space="preserve">Entidad </w:t>
            </w:r>
            <w:r w:rsidR="003300FF">
              <w:rPr>
                <w:b/>
                <w:color w:val="FFFFFF"/>
              </w:rPr>
              <w:t>f</w:t>
            </w:r>
            <w:r>
              <w:rPr>
                <w:b/>
                <w:color w:val="FFFFFF"/>
              </w:rPr>
              <w:t>ederativa</w:t>
            </w:r>
          </w:p>
          <w:p w14:paraId="01494CC5" w14:textId="77777777" w:rsidR="008A34AE" w:rsidRDefault="008A34AE">
            <w:pPr>
              <w:widowControl w:val="0"/>
              <w:pBdr>
                <w:top w:val="nil"/>
                <w:left w:val="nil"/>
                <w:bottom w:val="nil"/>
                <w:right w:val="nil"/>
                <w:between w:val="nil"/>
              </w:pBdr>
              <w:spacing w:line="240" w:lineRule="auto"/>
              <w:contextualSpacing w:val="0"/>
              <w:jc w:val="center"/>
              <w:rPr>
                <w:b/>
                <w:color w:val="FFFFFF"/>
              </w:rPr>
            </w:pPr>
          </w:p>
        </w:tc>
      </w:tr>
      <w:tr w:rsidR="008A34AE" w14:paraId="52D237BB" w14:textId="77777777" w:rsidTr="000951BC">
        <w:trPr>
          <w:trHeight w:val="420"/>
          <w:tblHeader/>
        </w:trPr>
        <w:tc>
          <w:tcPr>
            <w:tcW w:w="2400" w:type="dxa"/>
            <w:vMerge/>
            <w:shd w:val="clear" w:color="auto" w:fill="205968"/>
            <w:tcMar>
              <w:top w:w="100" w:type="dxa"/>
              <w:left w:w="100" w:type="dxa"/>
              <w:bottom w:w="100" w:type="dxa"/>
              <w:right w:w="100" w:type="dxa"/>
            </w:tcMar>
            <w:vAlign w:val="center"/>
          </w:tcPr>
          <w:p w14:paraId="11B79658" w14:textId="77777777" w:rsidR="008A34AE" w:rsidRDefault="008A34AE">
            <w:pPr>
              <w:widowControl w:val="0"/>
              <w:pBdr>
                <w:top w:val="nil"/>
                <w:left w:val="nil"/>
                <w:bottom w:val="nil"/>
                <w:right w:val="nil"/>
                <w:between w:val="nil"/>
              </w:pBdr>
              <w:contextualSpacing w:val="0"/>
              <w:rPr>
                <w:b/>
                <w:color w:val="FFFFFF"/>
              </w:rPr>
            </w:pPr>
          </w:p>
        </w:tc>
        <w:tc>
          <w:tcPr>
            <w:tcW w:w="2130" w:type="dxa"/>
            <w:shd w:val="clear" w:color="auto" w:fill="205968"/>
            <w:tcMar>
              <w:top w:w="100" w:type="dxa"/>
              <w:left w:w="100" w:type="dxa"/>
              <w:bottom w:w="100" w:type="dxa"/>
              <w:right w:w="100" w:type="dxa"/>
            </w:tcMar>
            <w:vAlign w:val="center"/>
          </w:tcPr>
          <w:p w14:paraId="4B0F6F15" w14:textId="77777777" w:rsidR="008A34AE" w:rsidRDefault="00F35562">
            <w:pPr>
              <w:widowControl w:val="0"/>
              <w:pBdr>
                <w:top w:val="nil"/>
                <w:left w:val="nil"/>
                <w:bottom w:val="nil"/>
                <w:right w:val="nil"/>
                <w:between w:val="nil"/>
              </w:pBdr>
              <w:spacing w:line="240" w:lineRule="auto"/>
              <w:contextualSpacing w:val="0"/>
              <w:jc w:val="center"/>
              <w:rPr>
                <w:b/>
                <w:color w:val="FFFFFF"/>
              </w:rPr>
            </w:pPr>
            <w:r>
              <w:rPr>
                <w:b/>
                <w:color w:val="FFFFFF"/>
              </w:rPr>
              <w:t>Morelos</w:t>
            </w:r>
          </w:p>
        </w:tc>
        <w:tc>
          <w:tcPr>
            <w:tcW w:w="2340" w:type="dxa"/>
            <w:shd w:val="clear" w:color="auto" w:fill="205968"/>
            <w:tcMar>
              <w:top w:w="100" w:type="dxa"/>
              <w:left w:w="100" w:type="dxa"/>
              <w:bottom w:w="100" w:type="dxa"/>
              <w:right w:w="100" w:type="dxa"/>
            </w:tcMar>
            <w:vAlign w:val="center"/>
          </w:tcPr>
          <w:p w14:paraId="2A254C8D" w14:textId="77777777" w:rsidR="008A34AE" w:rsidRDefault="00F35562">
            <w:pPr>
              <w:widowControl w:val="0"/>
              <w:pBdr>
                <w:top w:val="nil"/>
                <w:left w:val="nil"/>
                <w:bottom w:val="nil"/>
                <w:right w:val="nil"/>
                <w:between w:val="nil"/>
              </w:pBdr>
              <w:spacing w:line="240" w:lineRule="auto"/>
              <w:contextualSpacing w:val="0"/>
              <w:jc w:val="center"/>
              <w:rPr>
                <w:b/>
                <w:color w:val="FFFFFF"/>
              </w:rPr>
            </w:pPr>
            <w:r>
              <w:rPr>
                <w:b/>
                <w:color w:val="FFFFFF"/>
              </w:rPr>
              <w:t>Estado de México</w:t>
            </w:r>
          </w:p>
        </w:tc>
        <w:tc>
          <w:tcPr>
            <w:tcW w:w="2160" w:type="dxa"/>
            <w:shd w:val="clear" w:color="auto" w:fill="205968"/>
            <w:tcMar>
              <w:top w:w="100" w:type="dxa"/>
              <w:left w:w="100" w:type="dxa"/>
              <w:bottom w:w="100" w:type="dxa"/>
              <w:right w:w="100" w:type="dxa"/>
            </w:tcMar>
            <w:vAlign w:val="center"/>
          </w:tcPr>
          <w:p w14:paraId="73F6817B" w14:textId="77777777" w:rsidR="008A34AE" w:rsidRDefault="00F35562">
            <w:pPr>
              <w:widowControl w:val="0"/>
              <w:pBdr>
                <w:top w:val="nil"/>
                <w:left w:val="nil"/>
                <w:bottom w:val="nil"/>
                <w:right w:val="nil"/>
                <w:between w:val="nil"/>
              </w:pBdr>
              <w:shd w:val="clear" w:color="auto" w:fill="205968"/>
              <w:spacing w:line="240" w:lineRule="auto"/>
              <w:contextualSpacing w:val="0"/>
              <w:jc w:val="center"/>
              <w:rPr>
                <w:b/>
                <w:color w:val="FFFFFF"/>
              </w:rPr>
            </w:pPr>
            <w:r>
              <w:rPr>
                <w:b/>
                <w:color w:val="FFFFFF"/>
              </w:rPr>
              <w:t>Oaxaca</w:t>
            </w:r>
          </w:p>
        </w:tc>
      </w:tr>
      <w:tr w:rsidR="008A34AE" w14:paraId="2ADE4B10" w14:textId="77777777">
        <w:tc>
          <w:tcPr>
            <w:tcW w:w="2400" w:type="dxa"/>
            <w:shd w:val="clear" w:color="auto" w:fill="31849B"/>
            <w:tcMar>
              <w:top w:w="100" w:type="dxa"/>
              <w:left w:w="100" w:type="dxa"/>
              <w:bottom w:w="100" w:type="dxa"/>
              <w:right w:w="100" w:type="dxa"/>
            </w:tcMar>
            <w:vAlign w:val="center"/>
          </w:tcPr>
          <w:p w14:paraId="65B0D813" w14:textId="77777777" w:rsidR="008A34AE" w:rsidRDefault="00F35562">
            <w:pPr>
              <w:widowControl w:val="0"/>
              <w:pBdr>
                <w:top w:val="nil"/>
                <w:left w:val="nil"/>
                <w:bottom w:val="nil"/>
                <w:right w:val="nil"/>
                <w:between w:val="nil"/>
              </w:pBdr>
              <w:spacing w:line="240" w:lineRule="auto"/>
              <w:contextualSpacing w:val="0"/>
              <w:rPr>
                <w:b/>
                <w:color w:val="FFFFFF"/>
                <w:sz w:val="20"/>
                <w:szCs w:val="20"/>
              </w:rPr>
            </w:pPr>
            <w:r>
              <w:rPr>
                <w:b/>
                <w:color w:val="FFFFFF"/>
                <w:sz w:val="20"/>
                <w:szCs w:val="20"/>
              </w:rPr>
              <w:t>Monto global contratado por cada entidad federativa</w:t>
            </w:r>
          </w:p>
        </w:tc>
        <w:tc>
          <w:tcPr>
            <w:tcW w:w="2130" w:type="dxa"/>
            <w:shd w:val="clear" w:color="auto" w:fill="B7DDE8"/>
            <w:tcMar>
              <w:top w:w="100" w:type="dxa"/>
              <w:left w:w="100" w:type="dxa"/>
              <w:bottom w:w="100" w:type="dxa"/>
              <w:right w:w="100" w:type="dxa"/>
            </w:tcMar>
            <w:vAlign w:val="center"/>
          </w:tcPr>
          <w:p w14:paraId="4C5E3442" w14:textId="77777777" w:rsidR="008A34AE" w:rsidRDefault="00F35562">
            <w:pPr>
              <w:contextualSpacing w:val="0"/>
              <w:jc w:val="center"/>
              <w:rPr>
                <w:color w:val="205968"/>
                <w:sz w:val="20"/>
                <w:szCs w:val="20"/>
              </w:rPr>
            </w:pPr>
            <w:r>
              <w:rPr>
                <w:color w:val="205968"/>
                <w:sz w:val="20"/>
                <w:szCs w:val="20"/>
              </w:rPr>
              <w:t>$1,071,521,598</w:t>
            </w:r>
          </w:p>
        </w:tc>
        <w:tc>
          <w:tcPr>
            <w:tcW w:w="2340" w:type="dxa"/>
            <w:shd w:val="clear" w:color="auto" w:fill="B7DDE8"/>
            <w:tcMar>
              <w:top w:w="100" w:type="dxa"/>
              <w:left w:w="100" w:type="dxa"/>
              <w:bottom w:w="100" w:type="dxa"/>
              <w:right w:w="100" w:type="dxa"/>
            </w:tcMar>
            <w:vAlign w:val="center"/>
          </w:tcPr>
          <w:p w14:paraId="55079C45" w14:textId="77777777" w:rsidR="008A34AE" w:rsidRDefault="00F35562">
            <w:pPr>
              <w:contextualSpacing w:val="0"/>
              <w:jc w:val="center"/>
              <w:rPr>
                <w:color w:val="205968"/>
                <w:sz w:val="20"/>
                <w:szCs w:val="20"/>
              </w:rPr>
            </w:pPr>
            <w:r>
              <w:rPr>
                <w:color w:val="205968"/>
                <w:sz w:val="20"/>
                <w:szCs w:val="20"/>
              </w:rPr>
              <w:t>$1,300,000,000</w:t>
            </w:r>
          </w:p>
        </w:tc>
        <w:tc>
          <w:tcPr>
            <w:tcW w:w="2160" w:type="dxa"/>
            <w:shd w:val="clear" w:color="auto" w:fill="B7DDE8"/>
            <w:tcMar>
              <w:top w:w="100" w:type="dxa"/>
              <w:left w:w="100" w:type="dxa"/>
              <w:bottom w:w="100" w:type="dxa"/>
              <w:right w:w="100" w:type="dxa"/>
            </w:tcMar>
            <w:vAlign w:val="center"/>
          </w:tcPr>
          <w:p w14:paraId="2002EA2C" w14:textId="77777777" w:rsidR="008A34AE" w:rsidRDefault="00F35562">
            <w:pPr>
              <w:contextualSpacing w:val="0"/>
              <w:jc w:val="center"/>
              <w:rPr>
                <w:color w:val="205968"/>
                <w:sz w:val="20"/>
                <w:szCs w:val="20"/>
              </w:rPr>
            </w:pPr>
            <w:r>
              <w:rPr>
                <w:color w:val="205968"/>
                <w:sz w:val="20"/>
                <w:szCs w:val="20"/>
              </w:rPr>
              <w:t>$1,200,000,000</w:t>
            </w:r>
          </w:p>
        </w:tc>
      </w:tr>
      <w:tr w:rsidR="008A34AE" w14:paraId="5D77F63D" w14:textId="77777777">
        <w:tc>
          <w:tcPr>
            <w:tcW w:w="2400" w:type="dxa"/>
            <w:shd w:val="clear" w:color="auto" w:fill="31849B"/>
            <w:tcMar>
              <w:top w:w="100" w:type="dxa"/>
              <w:left w:w="100" w:type="dxa"/>
              <w:bottom w:w="100" w:type="dxa"/>
              <w:right w:w="100" w:type="dxa"/>
            </w:tcMar>
            <w:vAlign w:val="center"/>
          </w:tcPr>
          <w:p w14:paraId="2CF27DAE" w14:textId="77777777" w:rsidR="008A34AE" w:rsidRDefault="00F35562">
            <w:pPr>
              <w:widowControl w:val="0"/>
              <w:pBdr>
                <w:top w:val="nil"/>
                <w:left w:val="nil"/>
                <w:bottom w:val="nil"/>
                <w:right w:val="nil"/>
                <w:between w:val="nil"/>
              </w:pBdr>
              <w:spacing w:line="240" w:lineRule="auto"/>
              <w:contextualSpacing w:val="0"/>
              <w:rPr>
                <w:b/>
                <w:color w:val="FFFFFF"/>
                <w:sz w:val="20"/>
                <w:szCs w:val="20"/>
              </w:rPr>
            </w:pPr>
            <w:r>
              <w:rPr>
                <w:b/>
                <w:color w:val="FFFFFF"/>
                <w:sz w:val="20"/>
                <w:szCs w:val="20"/>
              </w:rPr>
              <w:t>Monto de la línea de crédito contratada por cada entidad federativa</w:t>
            </w:r>
          </w:p>
        </w:tc>
        <w:tc>
          <w:tcPr>
            <w:tcW w:w="2130" w:type="dxa"/>
            <w:shd w:val="clear" w:color="auto" w:fill="B7DDE8"/>
            <w:tcMar>
              <w:top w:w="100" w:type="dxa"/>
              <w:left w:w="100" w:type="dxa"/>
              <w:bottom w:w="100" w:type="dxa"/>
              <w:right w:w="100" w:type="dxa"/>
            </w:tcMar>
            <w:vAlign w:val="center"/>
          </w:tcPr>
          <w:p w14:paraId="6DCC4005"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$280,575,000</w:t>
            </w:r>
          </w:p>
        </w:tc>
        <w:tc>
          <w:tcPr>
            <w:tcW w:w="2340" w:type="dxa"/>
            <w:shd w:val="clear" w:color="auto" w:fill="B7DDE8"/>
            <w:tcMar>
              <w:top w:w="100" w:type="dxa"/>
              <w:left w:w="100" w:type="dxa"/>
              <w:bottom w:w="100" w:type="dxa"/>
              <w:right w:w="100" w:type="dxa"/>
            </w:tcMar>
            <w:vAlign w:val="center"/>
          </w:tcPr>
          <w:p w14:paraId="4FC0E86A"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$102,930,000</w:t>
            </w:r>
          </w:p>
        </w:tc>
        <w:tc>
          <w:tcPr>
            <w:tcW w:w="2160" w:type="dxa"/>
            <w:shd w:val="clear" w:color="auto" w:fill="B7DDE8"/>
            <w:tcMar>
              <w:top w:w="100" w:type="dxa"/>
              <w:left w:w="100" w:type="dxa"/>
              <w:bottom w:w="100" w:type="dxa"/>
              <w:right w:w="100" w:type="dxa"/>
            </w:tcMar>
            <w:vAlign w:val="center"/>
          </w:tcPr>
          <w:p w14:paraId="36A11A3A" w14:textId="77777777" w:rsidR="008A34AE" w:rsidRDefault="00F35562">
            <w:pPr>
              <w:contextualSpacing w:val="0"/>
              <w:jc w:val="center"/>
              <w:rPr>
                <w:color w:val="205968"/>
                <w:sz w:val="20"/>
                <w:szCs w:val="20"/>
              </w:rPr>
            </w:pPr>
            <w:r>
              <w:rPr>
                <w:color w:val="205968"/>
                <w:sz w:val="20"/>
                <w:szCs w:val="20"/>
              </w:rPr>
              <w:t>$1,200,000,000</w:t>
            </w:r>
          </w:p>
        </w:tc>
      </w:tr>
      <w:tr w:rsidR="008A34AE" w14:paraId="66FCF209" w14:textId="77777777">
        <w:tc>
          <w:tcPr>
            <w:tcW w:w="2400" w:type="dxa"/>
            <w:shd w:val="clear" w:color="auto" w:fill="31849B"/>
            <w:tcMar>
              <w:top w:w="100" w:type="dxa"/>
              <w:left w:w="100" w:type="dxa"/>
              <w:bottom w:w="100" w:type="dxa"/>
              <w:right w:w="100" w:type="dxa"/>
            </w:tcMar>
            <w:vAlign w:val="center"/>
          </w:tcPr>
          <w:p w14:paraId="5E2E73D3" w14:textId="77777777" w:rsidR="008A34AE" w:rsidRDefault="00F35562">
            <w:pPr>
              <w:widowControl w:val="0"/>
              <w:pBdr>
                <w:top w:val="nil"/>
                <w:left w:val="nil"/>
                <w:bottom w:val="nil"/>
                <w:right w:val="nil"/>
                <w:between w:val="nil"/>
              </w:pBdr>
              <w:spacing w:line="240" w:lineRule="auto"/>
              <w:contextualSpacing w:val="0"/>
              <w:rPr>
                <w:b/>
                <w:color w:val="FFFFFF"/>
                <w:sz w:val="20"/>
                <w:szCs w:val="20"/>
              </w:rPr>
            </w:pPr>
            <w:r>
              <w:rPr>
                <w:b/>
                <w:color w:val="FFFFFF"/>
                <w:sz w:val="20"/>
                <w:szCs w:val="20"/>
              </w:rPr>
              <w:t>Intereses pagados por cada entidad federativa respecto a la línea de crédito contratada, a marzo-abril 2018</w:t>
            </w:r>
          </w:p>
        </w:tc>
        <w:tc>
          <w:tcPr>
            <w:tcW w:w="2130" w:type="dxa"/>
            <w:shd w:val="clear" w:color="auto" w:fill="B7DDE8"/>
            <w:tcMar>
              <w:top w:w="100" w:type="dxa"/>
              <w:left w:w="100" w:type="dxa"/>
              <w:bottom w:w="100" w:type="dxa"/>
              <w:right w:w="100" w:type="dxa"/>
            </w:tcMar>
            <w:vAlign w:val="center"/>
          </w:tcPr>
          <w:p w14:paraId="371E548C"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$ 2,657,006.28</w:t>
            </w:r>
          </w:p>
        </w:tc>
        <w:tc>
          <w:tcPr>
            <w:tcW w:w="2340" w:type="dxa"/>
            <w:shd w:val="clear" w:color="auto" w:fill="B7DDE8"/>
            <w:tcMar>
              <w:top w:w="100" w:type="dxa"/>
              <w:left w:w="100" w:type="dxa"/>
              <w:bottom w:w="100" w:type="dxa"/>
              <w:right w:w="100" w:type="dxa"/>
            </w:tcMar>
            <w:vAlign w:val="center"/>
          </w:tcPr>
          <w:p w14:paraId="219E521B"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$1,066,863.44</w:t>
            </w:r>
          </w:p>
        </w:tc>
        <w:tc>
          <w:tcPr>
            <w:tcW w:w="2160" w:type="dxa"/>
            <w:shd w:val="clear" w:color="auto" w:fill="B7DDE8"/>
            <w:tcMar>
              <w:top w:w="100" w:type="dxa"/>
              <w:left w:w="100" w:type="dxa"/>
              <w:bottom w:w="100" w:type="dxa"/>
              <w:right w:w="100" w:type="dxa"/>
            </w:tcMar>
            <w:vAlign w:val="center"/>
          </w:tcPr>
          <w:p w14:paraId="51C0A814"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$14,153,659.73</w:t>
            </w:r>
          </w:p>
        </w:tc>
      </w:tr>
      <w:tr w:rsidR="008A34AE" w14:paraId="30693FDC" w14:textId="77777777">
        <w:tc>
          <w:tcPr>
            <w:tcW w:w="2400" w:type="dxa"/>
            <w:shd w:val="clear" w:color="auto" w:fill="31849B"/>
            <w:tcMar>
              <w:top w:w="100" w:type="dxa"/>
              <w:left w:w="100" w:type="dxa"/>
              <w:bottom w:w="100" w:type="dxa"/>
              <w:right w:w="100" w:type="dxa"/>
            </w:tcMar>
            <w:vAlign w:val="center"/>
          </w:tcPr>
          <w:p w14:paraId="10DE3D42" w14:textId="77777777" w:rsidR="008A34AE" w:rsidRDefault="00F35562">
            <w:pPr>
              <w:widowControl w:val="0"/>
              <w:pBdr>
                <w:top w:val="nil"/>
                <w:left w:val="nil"/>
                <w:bottom w:val="nil"/>
                <w:right w:val="nil"/>
                <w:between w:val="nil"/>
              </w:pBdr>
              <w:spacing w:line="240" w:lineRule="auto"/>
              <w:contextualSpacing w:val="0"/>
              <w:rPr>
                <w:b/>
                <w:color w:val="FFFFFF"/>
                <w:sz w:val="20"/>
                <w:szCs w:val="20"/>
              </w:rPr>
            </w:pPr>
            <w:r>
              <w:rPr>
                <w:b/>
                <w:color w:val="FFFFFF"/>
                <w:sz w:val="20"/>
                <w:szCs w:val="20"/>
              </w:rPr>
              <w:t>Intereses por pagar de cada entidad federativa respecto a la línea de crédito, al tercer trimestre de 2018 (mayo-sept.)</w:t>
            </w:r>
          </w:p>
        </w:tc>
        <w:tc>
          <w:tcPr>
            <w:tcW w:w="2130" w:type="dxa"/>
            <w:shd w:val="clear" w:color="auto" w:fill="B7DDE8"/>
            <w:tcMar>
              <w:top w:w="100" w:type="dxa"/>
              <w:left w:w="100" w:type="dxa"/>
              <w:bottom w:w="100" w:type="dxa"/>
              <w:right w:w="100" w:type="dxa"/>
            </w:tcMar>
            <w:vAlign w:val="center"/>
          </w:tcPr>
          <w:p w14:paraId="38E0B55D"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$9,998,818.54</w:t>
            </w:r>
          </w:p>
        </w:tc>
        <w:tc>
          <w:tcPr>
            <w:tcW w:w="2340" w:type="dxa"/>
            <w:shd w:val="clear" w:color="auto" w:fill="B7DDE8"/>
            <w:tcMar>
              <w:top w:w="100" w:type="dxa"/>
              <w:left w:w="100" w:type="dxa"/>
              <w:bottom w:w="100" w:type="dxa"/>
              <w:right w:w="100" w:type="dxa"/>
            </w:tcMar>
            <w:vAlign w:val="center"/>
          </w:tcPr>
          <w:p w14:paraId="1F9A86F4"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$3,650,491.92</w:t>
            </w:r>
          </w:p>
        </w:tc>
        <w:tc>
          <w:tcPr>
            <w:tcW w:w="2160" w:type="dxa"/>
            <w:shd w:val="clear" w:color="auto" w:fill="B7DDE8"/>
            <w:tcMar>
              <w:top w:w="100" w:type="dxa"/>
              <w:left w:w="100" w:type="dxa"/>
              <w:bottom w:w="100" w:type="dxa"/>
              <w:right w:w="100" w:type="dxa"/>
            </w:tcMar>
            <w:vAlign w:val="center"/>
          </w:tcPr>
          <w:p w14:paraId="06381423"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$36,943,450.80</w:t>
            </w:r>
          </w:p>
        </w:tc>
      </w:tr>
      <w:tr w:rsidR="008A34AE" w14:paraId="3467B32C" w14:textId="77777777">
        <w:tc>
          <w:tcPr>
            <w:tcW w:w="2400" w:type="dxa"/>
            <w:shd w:val="clear" w:color="auto" w:fill="31849B"/>
            <w:tcMar>
              <w:top w:w="100" w:type="dxa"/>
              <w:left w:w="100" w:type="dxa"/>
              <w:bottom w:w="100" w:type="dxa"/>
              <w:right w:w="100" w:type="dxa"/>
            </w:tcMar>
            <w:vAlign w:val="center"/>
          </w:tcPr>
          <w:p w14:paraId="50C396CA" w14:textId="77777777" w:rsidR="008A34AE" w:rsidRDefault="00F35562">
            <w:pPr>
              <w:widowControl w:val="0"/>
              <w:pBdr>
                <w:top w:val="nil"/>
                <w:left w:val="nil"/>
                <w:bottom w:val="nil"/>
                <w:right w:val="nil"/>
                <w:between w:val="nil"/>
              </w:pBdr>
              <w:spacing w:line="240" w:lineRule="auto"/>
              <w:contextualSpacing w:val="0"/>
              <w:rPr>
                <w:b/>
                <w:color w:val="FFFFFF"/>
                <w:sz w:val="20"/>
                <w:szCs w:val="20"/>
              </w:rPr>
            </w:pPr>
            <w:r>
              <w:rPr>
                <w:b/>
                <w:color w:val="FFFFFF"/>
                <w:sz w:val="20"/>
                <w:szCs w:val="20"/>
              </w:rPr>
              <w:t xml:space="preserve">Obras, proyectos de inversión o acciones de reconstrucción de infraestructura estatal </w:t>
            </w:r>
            <w:r>
              <w:rPr>
                <w:b/>
                <w:color w:val="FFFFFF"/>
                <w:sz w:val="20"/>
                <w:szCs w:val="20"/>
              </w:rPr>
              <w:lastRenderedPageBreak/>
              <w:t xml:space="preserve">que serán financiadas por cada entidad federativa con recursos del </w:t>
            </w:r>
            <w:r w:rsidR="003F5B86">
              <w:rPr>
                <w:b/>
                <w:color w:val="FFFFFF"/>
                <w:sz w:val="20"/>
                <w:szCs w:val="20"/>
              </w:rPr>
              <w:t>f</w:t>
            </w:r>
            <w:r>
              <w:rPr>
                <w:b/>
                <w:color w:val="FFFFFF"/>
                <w:sz w:val="20"/>
                <w:szCs w:val="20"/>
              </w:rPr>
              <w:t>ideicomiso</w:t>
            </w:r>
          </w:p>
        </w:tc>
        <w:tc>
          <w:tcPr>
            <w:tcW w:w="2130" w:type="dxa"/>
            <w:shd w:val="clear" w:color="auto" w:fill="B7DDE8"/>
            <w:tcMar>
              <w:top w:w="100" w:type="dxa"/>
              <w:left w:w="100" w:type="dxa"/>
              <w:bottom w:w="100" w:type="dxa"/>
              <w:right w:w="100" w:type="dxa"/>
            </w:tcMar>
            <w:vAlign w:val="center"/>
          </w:tcPr>
          <w:p w14:paraId="7A7CA23D" w14:textId="77777777" w:rsidR="008A34AE" w:rsidRDefault="00F35562">
            <w:pPr>
              <w:widowControl w:val="0"/>
              <w:pBdr>
                <w:top w:val="nil"/>
                <w:left w:val="nil"/>
                <w:bottom w:val="nil"/>
                <w:right w:val="nil"/>
                <w:between w:val="nil"/>
              </w:pBdr>
              <w:spacing w:line="240" w:lineRule="auto"/>
              <w:contextualSpacing w:val="0"/>
              <w:rPr>
                <w:color w:val="205968"/>
                <w:sz w:val="20"/>
                <w:szCs w:val="20"/>
              </w:rPr>
            </w:pPr>
            <w:r>
              <w:rPr>
                <w:color w:val="205968"/>
                <w:sz w:val="20"/>
                <w:szCs w:val="20"/>
              </w:rPr>
              <w:lastRenderedPageBreak/>
              <w:t>Inversiones públicas productivas, incluido</w:t>
            </w:r>
            <w:r w:rsidR="00EF03CD">
              <w:rPr>
                <w:color w:val="205968"/>
                <w:sz w:val="20"/>
                <w:szCs w:val="20"/>
              </w:rPr>
              <w:t>,</w:t>
            </w:r>
            <w:r>
              <w:rPr>
                <w:color w:val="205968"/>
                <w:sz w:val="20"/>
                <w:szCs w:val="20"/>
              </w:rPr>
              <w:t xml:space="preserve"> en su caso, el impuesto al valor </w:t>
            </w:r>
            <w:r>
              <w:rPr>
                <w:color w:val="205968"/>
                <w:sz w:val="20"/>
                <w:szCs w:val="20"/>
              </w:rPr>
              <w:lastRenderedPageBreak/>
              <w:t xml:space="preserve">agregado, a cubrir la parte que corresponde como aportación que deriva del Convenio del </w:t>
            </w:r>
            <w:r>
              <w:rPr>
                <w:color w:val="205968"/>
                <w:sz w:val="18"/>
                <w:szCs w:val="18"/>
              </w:rPr>
              <w:t xml:space="preserve">FONDEN </w:t>
            </w:r>
            <w:r>
              <w:rPr>
                <w:color w:val="205968"/>
                <w:sz w:val="20"/>
                <w:szCs w:val="20"/>
              </w:rPr>
              <w:t xml:space="preserve">consistentes en inversiones públicas productivas que tengan el carácter de prioritario en rubros de carreteras e infraestructura vial urbana, deportiva, educativa, hidráulica, cultural y de salud; pudiendo destinarse a las acciones de reconstrucción contempladas en el </w:t>
            </w:r>
            <w:r>
              <w:rPr>
                <w:color w:val="205968"/>
                <w:sz w:val="18"/>
                <w:szCs w:val="18"/>
              </w:rPr>
              <w:t>FONDEN</w:t>
            </w:r>
            <w:r>
              <w:rPr>
                <w:color w:val="205968"/>
                <w:sz w:val="20"/>
                <w:szCs w:val="20"/>
              </w:rPr>
              <w:t xml:space="preserve"> al amparo del Programa </w:t>
            </w:r>
            <w:r>
              <w:rPr>
                <w:color w:val="205968"/>
                <w:sz w:val="18"/>
                <w:szCs w:val="18"/>
              </w:rPr>
              <w:t>FONREC</w:t>
            </w:r>
            <w:r>
              <w:rPr>
                <w:color w:val="205968"/>
                <w:sz w:val="20"/>
                <w:szCs w:val="20"/>
              </w:rPr>
              <w:t>.</w:t>
            </w:r>
          </w:p>
        </w:tc>
        <w:tc>
          <w:tcPr>
            <w:tcW w:w="2340" w:type="dxa"/>
            <w:shd w:val="clear" w:color="auto" w:fill="B7DDE8"/>
            <w:tcMar>
              <w:top w:w="100" w:type="dxa"/>
              <w:left w:w="100" w:type="dxa"/>
              <w:bottom w:w="100" w:type="dxa"/>
              <w:right w:w="100" w:type="dxa"/>
            </w:tcMar>
            <w:vAlign w:val="center"/>
          </w:tcPr>
          <w:p w14:paraId="1A68FCB7" w14:textId="5FBC733D" w:rsidR="008A34AE" w:rsidRDefault="00F35562">
            <w:pPr>
              <w:widowControl w:val="0"/>
              <w:pBdr>
                <w:top w:val="nil"/>
                <w:left w:val="nil"/>
                <w:bottom w:val="nil"/>
                <w:right w:val="nil"/>
                <w:between w:val="nil"/>
              </w:pBdr>
              <w:spacing w:line="240" w:lineRule="auto"/>
              <w:contextualSpacing w:val="0"/>
              <w:rPr>
                <w:color w:val="205968"/>
                <w:sz w:val="20"/>
                <w:szCs w:val="20"/>
              </w:rPr>
            </w:pPr>
            <w:r>
              <w:rPr>
                <w:color w:val="205968"/>
                <w:sz w:val="20"/>
                <w:szCs w:val="20"/>
              </w:rPr>
              <w:lastRenderedPageBreak/>
              <w:t xml:space="preserve">Para financiar el costo de obras, inversiones y acciones para la atención de la </w:t>
            </w:r>
            <w:r>
              <w:rPr>
                <w:color w:val="205968"/>
                <w:sz w:val="20"/>
                <w:szCs w:val="20"/>
              </w:rPr>
              <w:lastRenderedPageBreak/>
              <w:t>población afectada el 19 de septiembre</w:t>
            </w:r>
            <w:r w:rsidR="00EF03CD">
              <w:rPr>
                <w:color w:val="205968"/>
                <w:sz w:val="20"/>
                <w:szCs w:val="20"/>
              </w:rPr>
              <w:t>,</w:t>
            </w:r>
            <w:r>
              <w:rPr>
                <w:color w:val="205968"/>
                <w:sz w:val="20"/>
                <w:szCs w:val="20"/>
              </w:rPr>
              <w:t xml:space="preserve"> en 12 municipios </w:t>
            </w:r>
            <w:r w:rsidR="00EF03CD">
              <w:rPr>
                <w:color w:val="205968"/>
                <w:sz w:val="20"/>
                <w:szCs w:val="20"/>
              </w:rPr>
              <w:t>según</w:t>
            </w:r>
            <w:r>
              <w:rPr>
                <w:color w:val="205968"/>
                <w:sz w:val="20"/>
                <w:szCs w:val="20"/>
              </w:rPr>
              <w:t xml:space="preserve"> lo acordado con el Ejecutivo Federal y lo aprobado en el </w:t>
            </w:r>
            <w:r>
              <w:rPr>
                <w:color w:val="205968"/>
                <w:sz w:val="18"/>
                <w:szCs w:val="18"/>
              </w:rPr>
              <w:t>FONDEN</w:t>
            </w:r>
            <w:r>
              <w:rPr>
                <w:color w:val="205968"/>
                <w:sz w:val="20"/>
                <w:szCs w:val="20"/>
              </w:rPr>
              <w:t xml:space="preserve">, el </w:t>
            </w:r>
            <w:r>
              <w:rPr>
                <w:color w:val="205968"/>
                <w:sz w:val="18"/>
                <w:szCs w:val="18"/>
              </w:rPr>
              <w:t>FONREC</w:t>
            </w:r>
            <w:r>
              <w:rPr>
                <w:color w:val="205968"/>
                <w:sz w:val="20"/>
                <w:szCs w:val="20"/>
              </w:rPr>
              <w:t>, Fideicomiso 2186 y el Convenio de Coordinación.</w:t>
            </w:r>
          </w:p>
        </w:tc>
        <w:tc>
          <w:tcPr>
            <w:tcW w:w="2160" w:type="dxa"/>
            <w:shd w:val="clear" w:color="auto" w:fill="B7DDE8"/>
            <w:tcMar>
              <w:top w:w="100" w:type="dxa"/>
              <w:left w:w="100" w:type="dxa"/>
              <w:bottom w:w="100" w:type="dxa"/>
              <w:right w:w="100" w:type="dxa"/>
            </w:tcMar>
            <w:vAlign w:val="center"/>
          </w:tcPr>
          <w:p w14:paraId="48B3CA60" w14:textId="514A63C3" w:rsidR="008A34AE" w:rsidRDefault="00F35562">
            <w:pPr>
              <w:widowControl w:val="0"/>
              <w:pBdr>
                <w:top w:val="nil"/>
                <w:left w:val="nil"/>
                <w:bottom w:val="nil"/>
                <w:right w:val="nil"/>
                <w:between w:val="nil"/>
              </w:pBdr>
              <w:spacing w:line="240" w:lineRule="auto"/>
              <w:contextualSpacing w:val="0"/>
              <w:rPr>
                <w:color w:val="205968"/>
                <w:sz w:val="20"/>
                <w:szCs w:val="20"/>
              </w:rPr>
            </w:pPr>
            <w:r>
              <w:rPr>
                <w:color w:val="205968"/>
                <w:sz w:val="20"/>
                <w:szCs w:val="20"/>
              </w:rPr>
              <w:lastRenderedPageBreak/>
              <w:t xml:space="preserve">Obras para la reconstrucción en los rubros de: Infraestructura </w:t>
            </w:r>
            <w:r>
              <w:rPr>
                <w:color w:val="205968"/>
                <w:sz w:val="20"/>
                <w:szCs w:val="20"/>
              </w:rPr>
              <w:lastRenderedPageBreak/>
              <w:t xml:space="preserve">carretera y vial, infraestructura educativa, infraestructura de salud e infraestructura urbana, así como obras de infraestructura acordadas con el </w:t>
            </w:r>
            <w:r w:rsidR="00456D96">
              <w:rPr>
                <w:color w:val="205968"/>
                <w:sz w:val="20"/>
                <w:szCs w:val="20"/>
              </w:rPr>
              <w:t>e</w:t>
            </w:r>
            <w:r>
              <w:rPr>
                <w:color w:val="205968"/>
                <w:sz w:val="20"/>
                <w:szCs w:val="20"/>
              </w:rPr>
              <w:t xml:space="preserve">jecutivo </w:t>
            </w:r>
            <w:r w:rsidR="00456D96">
              <w:rPr>
                <w:color w:val="205968"/>
                <w:sz w:val="20"/>
                <w:szCs w:val="20"/>
              </w:rPr>
              <w:t>f</w:t>
            </w:r>
            <w:r>
              <w:rPr>
                <w:color w:val="205968"/>
                <w:sz w:val="20"/>
                <w:szCs w:val="20"/>
              </w:rPr>
              <w:t>ederal</w:t>
            </w:r>
            <w:r w:rsidR="00EF03CD">
              <w:rPr>
                <w:color w:val="205968"/>
                <w:sz w:val="20"/>
                <w:szCs w:val="20"/>
              </w:rPr>
              <w:t>,</w:t>
            </w:r>
            <w:r>
              <w:rPr>
                <w:color w:val="205968"/>
                <w:sz w:val="20"/>
                <w:szCs w:val="20"/>
              </w:rPr>
              <w:t xml:space="preserve"> lo aprobado en el </w:t>
            </w:r>
            <w:r>
              <w:rPr>
                <w:color w:val="205968"/>
                <w:sz w:val="18"/>
                <w:szCs w:val="18"/>
              </w:rPr>
              <w:t>FONDEN</w:t>
            </w:r>
            <w:r>
              <w:rPr>
                <w:color w:val="205968"/>
                <w:sz w:val="20"/>
                <w:szCs w:val="20"/>
              </w:rPr>
              <w:t xml:space="preserve">, </w:t>
            </w:r>
            <w:r w:rsidR="00EF03CD">
              <w:rPr>
                <w:color w:val="205968"/>
                <w:sz w:val="20"/>
                <w:szCs w:val="20"/>
              </w:rPr>
              <w:t xml:space="preserve">el </w:t>
            </w:r>
            <w:r>
              <w:rPr>
                <w:color w:val="205968"/>
                <w:sz w:val="20"/>
                <w:szCs w:val="20"/>
              </w:rPr>
              <w:t xml:space="preserve">Fideicomiso 2186, el </w:t>
            </w:r>
            <w:r>
              <w:rPr>
                <w:color w:val="205968"/>
                <w:sz w:val="18"/>
                <w:szCs w:val="18"/>
              </w:rPr>
              <w:t>FONREC</w:t>
            </w:r>
            <w:r>
              <w:rPr>
                <w:color w:val="205968"/>
                <w:sz w:val="20"/>
                <w:szCs w:val="20"/>
              </w:rPr>
              <w:t xml:space="preserve"> y el Convenio de Coordinación.</w:t>
            </w:r>
          </w:p>
        </w:tc>
      </w:tr>
    </w:tbl>
    <w:p w14:paraId="095160DA" w14:textId="77777777" w:rsidR="008A34AE" w:rsidRDefault="00F35562">
      <w:pPr>
        <w:contextualSpacing w:val="0"/>
        <w:jc w:val="both"/>
        <w:rPr>
          <w:color w:val="595959"/>
          <w:sz w:val="16"/>
          <w:szCs w:val="16"/>
        </w:rPr>
      </w:pPr>
      <w:r>
        <w:rPr>
          <w:b/>
          <w:color w:val="595959"/>
          <w:sz w:val="16"/>
          <w:szCs w:val="16"/>
        </w:rPr>
        <w:lastRenderedPageBreak/>
        <w:t xml:space="preserve">Fuente: </w:t>
      </w:r>
      <w:r>
        <w:rPr>
          <w:color w:val="595959"/>
          <w:sz w:val="16"/>
          <w:szCs w:val="16"/>
        </w:rPr>
        <w:t>Elaboración propia con datos proporcionados por BANOBRAS a partir de la solicitud de información No. 0632000008918 de fecha 19 de abril de 2018.</w:t>
      </w:r>
    </w:p>
    <w:p w14:paraId="11FD31B6" w14:textId="77777777" w:rsidR="008A34AE" w:rsidRDefault="008A34AE">
      <w:pPr>
        <w:contextualSpacing w:val="0"/>
        <w:jc w:val="both"/>
        <w:rPr>
          <w:color w:val="0000FF"/>
        </w:rPr>
      </w:pPr>
    </w:p>
    <w:p w14:paraId="3968D488" w14:textId="77777777" w:rsidR="008A34AE" w:rsidRDefault="00F35562">
      <w:pPr>
        <w:ind w:firstLine="720"/>
        <w:contextualSpacing w:val="0"/>
        <w:jc w:val="both"/>
        <w:rPr>
          <w:color w:val="595959"/>
        </w:rPr>
      </w:pPr>
      <w:r>
        <w:rPr>
          <w:color w:val="595959"/>
        </w:rPr>
        <w:t xml:space="preserve">Por otro lado, la Auditoría Superior de la Federación </w:t>
      </w:r>
      <w:r>
        <w:rPr>
          <w:color w:val="595959"/>
          <w:sz w:val="20"/>
          <w:szCs w:val="20"/>
        </w:rPr>
        <w:t>(ASF)</w:t>
      </w:r>
      <w:r>
        <w:rPr>
          <w:color w:val="595959"/>
        </w:rPr>
        <w:t xml:space="preserve"> en su auditoría no. 16-0-06100-02-0037 37-GB al </w:t>
      </w:r>
      <w:r>
        <w:rPr>
          <w:color w:val="595959"/>
          <w:sz w:val="20"/>
          <w:szCs w:val="20"/>
        </w:rPr>
        <w:t>FONREC</w:t>
      </w:r>
      <w:r>
        <w:rPr>
          <w:color w:val="595959"/>
        </w:rPr>
        <w:t xml:space="preserve">, calculó que los intereses de los créditos autorizados a entidades federativas, en ejercicios presupuestarios anteriores, han representado en promedio 1.3 veces el valor de los créditos; mismos que se pagan con recursos provenientes del Fondo General de Participaciones de cada estado. </w:t>
      </w:r>
    </w:p>
    <w:p w14:paraId="05AE2ED7" w14:textId="77777777" w:rsidR="008A34AE" w:rsidRDefault="00F35562">
      <w:pPr>
        <w:ind w:firstLine="720"/>
        <w:contextualSpacing w:val="0"/>
        <w:jc w:val="both"/>
        <w:rPr>
          <w:color w:val="595959"/>
        </w:rPr>
      </w:pPr>
      <w:r>
        <w:rPr>
          <w:color w:val="595959"/>
        </w:rPr>
        <w:t xml:space="preserve">Así, el uso de este esquema de financiamiento diseñado por la </w:t>
      </w:r>
      <w:r>
        <w:rPr>
          <w:color w:val="595959"/>
          <w:sz w:val="20"/>
          <w:szCs w:val="20"/>
        </w:rPr>
        <w:t>SHCP</w:t>
      </w:r>
      <w:r>
        <w:rPr>
          <w:color w:val="595959"/>
        </w:rPr>
        <w:t xml:space="preserve"> limita la viabilidad financiera de las entidades federativas para atender otras prioridades por comprometer sus recursos futuros del Fondo General de Participaciones. En este sentido, la </w:t>
      </w:r>
      <w:r w:rsidR="00277E56">
        <w:rPr>
          <w:color w:val="595959"/>
        </w:rPr>
        <w:t>Auditoría Superior de la Federación (</w:t>
      </w:r>
      <w:r>
        <w:rPr>
          <w:color w:val="595959"/>
        </w:rPr>
        <w:t>ASF</w:t>
      </w:r>
      <w:r w:rsidR="00277E56">
        <w:rPr>
          <w:color w:val="595959"/>
        </w:rPr>
        <w:t>)</w:t>
      </w:r>
      <w:r>
        <w:rPr>
          <w:color w:val="595959"/>
        </w:rPr>
        <w:t xml:space="preserve"> recomendó que, en lo sucesivo, se evite construir mecanismos financieros de apoyo en los que se comprometan recursos de las entidades federativas para el pago de intereses. Sin embargo, el </w:t>
      </w:r>
      <w:r>
        <w:rPr>
          <w:color w:val="595959"/>
          <w:sz w:val="20"/>
          <w:szCs w:val="20"/>
        </w:rPr>
        <w:t>FONREC</w:t>
      </w:r>
      <w:r>
        <w:rPr>
          <w:color w:val="595959"/>
        </w:rPr>
        <w:t xml:space="preserve"> sigue operando de esta manera</w:t>
      </w:r>
      <w:r>
        <w:rPr>
          <w:color w:val="595959"/>
          <w:vertAlign w:val="superscript"/>
        </w:rPr>
        <w:footnoteReference w:id="8"/>
      </w:r>
      <w:r>
        <w:rPr>
          <w:color w:val="595959"/>
        </w:rPr>
        <w:t xml:space="preserve">. </w:t>
      </w:r>
    </w:p>
    <w:p w14:paraId="0647A1E3" w14:textId="2DE215BE" w:rsidR="008A34AE" w:rsidRDefault="00F35562">
      <w:pPr>
        <w:ind w:firstLine="720"/>
        <w:contextualSpacing w:val="0"/>
        <w:jc w:val="both"/>
        <w:rPr>
          <w:color w:val="595959"/>
        </w:rPr>
      </w:pPr>
      <w:r>
        <w:rPr>
          <w:color w:val="595959"/>
        </w:rPr>
        <w:t xml:space="preserve">En resumen, no se conoce el avance físico y financiero de las obras realizadas con estos recursos ni se ha </w:t>
      </w:r>
      <w:r w:rsidR="00277E56">
        <w:rPr>
          <w:color w:val="595959"/>
        </w:rPr>
        <w:t>expuesto</w:t>
      </w:r>
      <w:r>
        <w:rPr>
          <w:color w:val="595959"/>
        </w:rPr>
        <w:t xml:space="preserve"> el destino de estos fondos a través del portal FM-TP.</w:t>
      </w:r>
    </w:p>
    <w:p w14:paraId="051A224A" w14:textId="77777777" w:rsidR="008A34AE" w:rsidRDefault="00F35562">
      <w:pPr>
        <w:ind w:firstLine="720"/>
        <w:contextualSpacing w:val="0"/>
        <w:jc w:val="both"/>
        <w:rPr>
          <w:color w:val="595959"/>
        </w:rPr>
      </w:pPr>
      <w:r>
        <w:rPr>
          <w:color w:val="595959"/>
        </w:rPr>
        <w:t xml:space="preserve">Paralelamente en este mismo portal, se sintetizan las aportaciones extraordinarias de la Cámara de Senadores que, a través de una comunicación de la Junta de Coordinación Política </w:t>
      </w:r>
      <w:r>
        <w:rPr>
          <w:color w:val="595959"/>
          <w:sz w:val="20"/>
          <w:szCs w:val="20"/>
        </w:rPr>
        <w:t>(JUCOPO)</w:t>
      </w:r>
      <w:r>
        <w:rPr>
          <w:color w:val="595959"/>
        </w:rPr>
        <w:t xml:space="preserve">, anunció la creación de un fondo de reconstrucción de vivienda de 50 </w:t>
      </w:r>
      <w:r>
        <w:rPr>
          <w:color w:val="595959"/>
        </w:rPr>
        <w:lastRenderedPageBreak/>
        <w:t>millones de pesos</w:t>
      </w:r>
      <w:r>
        <w:rPr>
          <w:color w:val="595959"/>
          <w:vertAlign w:val="superscript"/>
        </w:rPr>
        <w:footnoteReference w:id="9"/>
      </w:r>
      <w:r>
        <w:rPr>
          <w:color w:val="595959"/>
        </w:rPr>
        <w:t xml:space="preserve">. </w:t>
      </w:r>
      <w:r w:rsidR="00A22CC3">
        <w:rPr>
          <w:color w:val="595959"/>
        </w:rPr>
        <w:t>El cual</w:t>
      </w:r>
      <w:r>
        <w:rPr>
          <w:color w:val="595959"/>
        </w:rPr>
        <w:t xml:space="preserve"> funcionaría en coordinación con la Banca de Desarrollo y tendría testigos sociales para actuar con transparencia y bajo los principios de la rendición de cuentas. No obstante, no se ha publicado información posterior a este aviso en la página del Senado ni aparece en el portal </w:t>
      </w:r>
      <w:r>
        <w:rPr>
          <w:color w:val="595959"/>
          <w:sz w:val="20"/>
          <w:szCs w:val="20"/>
        </w:rPr>
        <w:t>FM-TP</w:t>
      </w:r>
      <w:r>
        <w:rPr>
          <w:color w:val="595959"/>
        </w:rPr>
        <w:t xml:space="preserve">. </w:t>
      </w:r>
      <w:r w:rsidR="00A22CC3">
        <w:rPr>
          <w:color w:val="595959"/>
        </w:rPr>
        <w:t>Por tanto</w:t>
      </w:r>
      <w:r>
        <w:rPr>
          <w:color w:val="595959"/>
        </w:rPr>
        <w:t xml:space="preserve">, no se conoce si se concretó. </w:t>
      </w:r>
    </w:p>
    <w:p w14:paraId="56A2136C" w14:textId="77777777" w:rsidR="008A34AE" w:rsidRDefault="00F35562">
      <w:pPr>
        <w:ind w:firstLine="720"/>
        <w:contextualSpacing w:val="0"/>
        <w:jc w:val="both"/>
        <w:rPr>
          <w:color w:val="595959"/>
        </w:rPr>
      </w:pPr>
      <w:r>
        <w:rPr>
          <w:color w:val="595959"/>
        </w:rPr>
        <w:t xml:space="preserve">Por su parte, el Partido Movimiento de Regeneración Nacional </w:t>
      </w:r>
      <w:r>
        <w:rPr>
          <w:color w:val="595959"/>
          <w:sz w:val="20"/>
          <w:szCs w:val="20"/>
        </w:rPr>
        <w:t>(MORENA)</w:t>
      </w:r>
      <w:r>
        <w:rPr>
          <w:color w:val="595959"/>
        </w:rPr>
        <w:t xml:space="preserve"> creó el   </w:t>
      </w:r>
      <w:r w:rsidR="00A22CC3">
        <w:rPr>
          <w:color w:val="595959"/>
        </w:rPr>
        <w:t>f</w:t>
      </w:r>
      <w:r>
        <w:rPr>
          <w:color w:val="595959"/>
        </w:rPr>
        <w:t xml:space="preserve">ideicomiso </w:t>
      </w:r>
      <w:r w:rsidRPr="00ED16E8">
        <w:rPr>
          <w:color w:val="595959"/>
        </w:rPr>
        <w:t>Por los demás</w:t>
      </w:r>
      <w:r>
        <w:rPr>
          <w:color w:val="595959"/>
        </w:rPr>
        <w:t xml:space="preserve">, con número 73803, constituido en septiembre de 2017 en el Banco Afirme. Este instrumento buscaba apoyar a 45 mil damnificados en Oaxaca, Chiapas, Estado de México, Guerrero, Morelos, Puebla y Ciudad de México a partir de las donaciones de simpatizantes, militantes y ciudadanos con el compromiso de entregar la mitad del gasto de campaña para la candidatura a la </w:t>
      </w:r>
      <w:r w:rsidR="00A22CC3">
        <w:rPr>
          <w:color w:val="595959"/>
        </w:rPr>
        <w:t>p</w:t>
      </w:r>
      <w:r>
        <w:rPr>
          <w:color w:val="595959"/>
        </w:rPr>
        <w:t>residencia, e</w:t>
      </w:r>
      <w:r w:rsidR="00A22CC3">
        <w:rPr>
          <w:color w:val="595959"/>
        </w:rPr>
        <w:t>l cual reunió</w:t>
      </w:r>
      <w:r>
        <w:rPr>
          <w:color w:val="595959"/>
        </w:rPr>
        <w:t xml:space="preserve"> 103 millones de pesos. </w:t>
      </w:r>
    </w:p>
    <w:p w14:paraId="22D00C53" w14:textId="5568F50F" w:rsidR="008A34AE" w:rsidRDefault="00F35562">
      <w:pPr>
        <w:ind w:firstLine="720"/>
        <w:contextualSpacing w:val="0"/>
        <w:jc w:val="both"/>
        <w:rPr>
          <w:color w:val="595959"/>
        </w:rPr>
      </w:pPr>
      <w:r>
        <w:rPr>
          <w:color w:val="595959"/>
        </w:rPr>
        <w:t xml:space="preserve">Al respecto, de septiembre a la fecha, el mecanismo de información pública de este fideicomiso </w:t>
      </w:r>
      <w:r w:rsidR="00A22CC3">
        <w:rPr>
          <w:color w:val="595959"/>
        </w:rPr>
        <w:t xml:space="preserve">se </w:t>
      </w:r>
      <w:r w:rsidR="00456D96">
        <w:rPr>
          <w:color w:val="595959"/>
        </w:rPr>
        <w:t>difundió</w:t>
      </w:r>
      <w:r w:rsidR="00A22CC3">
        <w:rPr>
          <w:color w:val="595959"/>
        </w:rPr>
        <w:t xml:space="preserve"> con</w:t>
      </w:r>
      <w:r>
        <w:rPr>
          <w:color w:val="595959"/>
        </w:rPr>
        <w:t xml:space="preserve"> videos informativos en los que, a través de su página de Facebook y de la de </w:t>
      </w:r>
      <w:r>
        <w:rPr>
          <w:color w:val="595959"/>
          <w:sz w:val="20"/>
          <w:szCs w:val="20"/>
        </w:rPr>
        <w:t>MORENA</w:t>
      </w:r>
      <w:r>
        <w:rPr>
          <w:color w:val="595959"/>
        </w:rPr>
        <w:t>, el entonces candidato Andrés Manuel López Obrador</w:t>
      </w:r>
      <w:r>
        <w:rPr>
          <w:color w:val="595959"/>
          <w:vertAlign w:val="superscript"/>
        </w:rPr>
        <w:footnoteReference w:id="10"/>
      </w:r>
      <w:r>
        <w:rPr>
          <w:color w:val="595959"/>
        </w:rPr>
        <w:t xml:space="preserve"> indicaba las cantidades recaudadas y lo ejercido por entidad federativa. Sin embargo, no se identificó que esta información hubiera estado publicada en alguna base de datos. Al respecto, importaba conocer a la población que recibió apoyos y el avance financiero del fideicomiso.</w:t>
      </w:r>
    </w:p>
    <w:p w14:paraId="227589D2" w14:textId="7A4AE858" w:rsidR="008A34AE" w:rsidRDefault="00F35562">
      <w:pPr>
        <w:ind w:firstLine="720"/>
        <w:contextualSpacing w:val="0"/>
        <w:jc w:val="both"/>
        <w:rPr>
          <w:color w:val="0000FF"/>
        </w:rPr>
      </w:pPr>
      <w:r>
        <w:rPr>
          <w:color w:val="595959"/>
        </w:rPr>
        <w:t xml:space="preserve"> Así fue como, en julio de 2018, </w:t>
      </w:r>
      <w:r>
        <w:rPr>
          <w:color w:val="595959"/>
          <w:sz w:val="20"/>
          <w:szCs w:val="20"/>
        </w:rPr>
        <w:t>MORENA</w:t>
      </w:r>
      <w:r>
        <w:rPr>
          <w:color w:val="595959"/>
        </w:rPr>
        <w:t xml:space="preserve"> recibió una sanción por parte del Consejo General del </w:t>
      </w:r>
      <w:r>
        <w:rPr>
          <w:color w:val="595959"/>
          <w:sz w:val="20"/>
          <w:szCs w:val="20"/>
        </w:rPr>
        <w:t>INE</w:t>
      </w:r>
      <w:r>
        <w:rPr>
          <w:color w:val="595959"/>
        </w:rPr>
        <w:t xml:space="preserve"> por $197,046,415.92 pesos, es decir, una proporción de 250% de los recursos con los que contaba el fideicomiso. El argumento de la sanción versaba sobre el incumplimiento de la obligación de informar a la autoridad electoral respecto de este instrumento. De acuerdo con el </w:t>
      </w:r>
      <w:r>
        <w:rPr>
          <w:color w:val="595959"/>
          <w:sz w:val="20"/>
          <w:szCs w:val="20"/>
        </w:rPr>
        <w:t>INE</w:t>
      </w:r>
      <w:r>
        <w:rPr>
          <w:color w:val="595959"/>
        </w:rPr>
        <w:t>, esto resultó contrario al manejo lícito de las finanzas partidistas, debido a que no era</w:t>
      </w:r>
      <w:r w:rsidR="00A22CC3">
        <w:rPr>
          <w:color w:val="595959"/>
        </w:rPr>
        <w:t>n</w:t>
      </w:r>
      <w:r>
        <w:rPr>
          <w:color w:val="595959"/>
        </w:rPr>
        <w:t xml:space="preserve"> claro</w:t>
      </w:r>
      <w:r w:rsidR="00A22CC3">
        <w:rPr>
          <w:color w:val="595959"/>
        </w:rPr>
        <w:t>s</w:t>
      </w:r>
      <w:r>
        <w:rPr>
          <w:color w:val="595959"/>
        </w:rPr>
        <w:t xml:space="preserve"> tanto el origen como el destino de estos recursos. Y, también, por el hecho mismo</w:t>
      </w:r>
      <w:r w:rsidR="00456D96">
        <w:rPr>
          <w:color w:val="595959"/>
        </w:rPr>
        <w:t xml:space="preserve"> de</w:t>
      </w:r>
      <w:r>
        <w:rPr>
          <w:color w:val="595959"/>
        </w:rPr>
        <w:t xml:space="preserve"> haber creado y operado un esquema de financiamiento paralelo. </w:t>
      </w:r>
      <w:r w:rsidR="00A22CC3">
        <w:rPr>
          <w:color w:val="595959"/>
        </w:rPr>
        <w:t>Asimismo,</w:t>
      </w:r>
      <w:r>
        <w:rPr>
          <w:color w:val="595959"/>
        </w:rPr>
        <w:t xml:space="preserve"> </w:t>
      </w:r>
      <w:r w:rsidR="00A22CC3">
        <w:rPr>
          <w:color w:val="595959"/>
        </w:rPr>
        <w:t>datos d</w:t>
      </w:r>
      <w:r>
        <w:rPr>
          <w:color w:val="595959"/>
        </w:rPr>
        <w:t xml:space="preserve">el </w:t>
      </w:r>
      <w:r>
        <w:rPr>
          <w:color w:val="595959"/>
          <w:sz w:val="20"/>
          <w:szCs w:val="20"/>
        </w:rPr>
        <w:t>INE</w:t>
      </w:r>
      <w:r w:rsidR="00A22CC3">
        <w:rPr>
          <w:color w:val="595959"/>
          <w:sz w:val="20"/>
          <w:szCs w:val="20"/>
        </w:rPr>
        <w:t xml:space="preserve"> </w:t>
      </w:r>
      <w:r w:rsidR="00A22CC3" w:rsidRPr="0028709C">
        <w:rPr>
          <w:color w:val="595959"/>
        </w:rPr>
        <w:t>exponen que</w:t>
      </w:r>
      <w:r>
        <w:rPr>
          <w:color w:val="595959"/>
        </w:rPr>
        <w:t>, entre el 26 de septiembre de 2017 y el 31 de mayo de 2018, ingresaron 78.8 millones de pesos, de los cuales, 44.4 millones (56%) fueron depósitos atípicos y en efectivo</w:t>
      </w:r>
      <w:r>
        <w:rPr>
          <w:color w:val="595959"/>
          <w:vertAlign w:val="superscript"/>
        </w:rPr>
        <w:footnoteReference w:id="11"/>
      </w:r>
      <w:r>
        <w:rPr>
          <w:color w:val="595959"/>
        </w:rPr>
        <w:t xml:space="preserve">. </w:t>
      </w:r>
    </w:p>
    <w:p w14:paraId="12350393" w14:textId="77777777" w:rsidR="008A34AE" w:rsidRDefault="00F35562">
      <w:pPr>
        <w:ind w:firstLine="720"/>
        <w:contextualSpacing w:val="0"/>
        <w:jc w:val="both"/>
        <w:rPr>
          <w:color w:val="595959"/>
        </w:rPr>
      </w:pPr>
      <w:r>
        <w:rPr>
          <w:color w:val="595959"/>
        </w:rPr>
        <w:t xml:space="preserve">Por </w:t>
      </w:r>
      <w:r w:rsidR="00A22CC3">
        <w:rPr>
          <w:color w:val="595959"/>
        </w:rPr>
        <w:t>otro lado</w:t>
      </w:r>
      <w:r>
        <w:rPr>
          <w:color w:val="595959"/>
        </w:rPr>
        <w:t xml:space="preserve">, el 31 de agosto de 2018, el Tribunal Electoral del Poder Judicial de la Federación </w:t>
      </w:r>
      <w:r>
        <w:rPr>
          <w:color w:val="595959"/>
          <w:sz w:val="20"/>
          <w:szCs w:val="20"/>
        </w:rPr>
        <w:t>(TEPJF)</w:t>
      </w:r>
      <w:r>
        <w:rPr>
          <w:color w:val="595959"/>
        </w:rPr>
        <w:t xml:space="preserve"> revocó dicha sanción al indicar que </w:t>
      </w:r>
      <w:r>
        <w:rPr>
          <w:color w:val="595959"/>
          <w:sz w:val="20"/>
          <w:szCs w:val="20"/>
        </w:rPr>
        <w:t>“... no se demostró que el financiamiento del partido político tuviera como origen o destino el del fideicomiso, y tampoco se investigó que la aplicación del dinero del fideicomiso tuviera un propósito electoral o político que beneficiara directamente al partido MORENA, razón por la cual no existieron elementos suficientes para acreditar la ilicitud y sancionar a los sujetos denunciados, y por lo tanto, no se derrotó la presunción de inocencia, como garantía procesal fundamental. De ahí la revocación lisa y llana”</w:t>
      </w:r>
      <w:r>
        <w:rPr>
          <w:color w:val="595959"/>
          <w:sz w:val="20"/>
          <w:szCs w:val="20"/>
          <w:vertAlign w:val="superscript"/>
        </w:rPr>
        <w:footnoteReference w:id="12"/>
      </w:r>
      <w:r>
        <w:rPr>
          <w:color w:val="595959"/>
          <w:sz w:val="20"/>
          <w:szCs w:val="20"/>
        </w:rPr>
        <w:t xml:space="preserve">. </w:t>
      </w:r>
    </w:p>
    <w:p w14:paraId="16D6E06B" w14:textId="77777777" w:rsidR="008A34AE" w:rsidRDefault="00F35562">
      <w:pPr>
        <w:ind w:firstLine="720"/>
        <w:contextualSpacing w:val="0"/>
        <w:jc w:val="both"/>
        <w:rPr>
          <w:color w:val="595959"/>
        </w:rPr>
      </w:pPr>
      <w:r>
        <w:rPr>
          <w:color w:val="595959"/>
        </w:rPr>
        <w:t xml:space="preserve">Un día después, el 1 de septiembre de 2018 el </w:t>
      </w:r>
      <w:r w:rsidR="00A22CC3">
        <w:rPr>
          <w:color w:val="595959"/>
        </w:rPr>
        <w:t>p</w:t>
      </w:r>
      <w:r>
        <w:rPr>
          <w:color w:val="595959"/>
        </w:rPr>
        <w:t xml:space="preserve">residente </w:t>
      </w:r>
      <w:r w:rsidR="00A22CC3">
        <w:rPr>
          <w:color w:val="595959"/>
        </w:rPr>
        <w:t>e</w:t>
      </w:r>
      <w:r>
        <w:rPr>
          <w:color w:val="595959"/>
        </w:rPr>
        <w:t xml:space="preserve">lecto, Andrés Manuel López Obrador, anunció que el fideicomiso llegó a reunir $85,398,876.64 pesos con aportaciones de distintos militantes y simpatizantes de </w:t>
      </w:r>
      <w:r>
        <w:rPr>
          <w:color w:val="595959"/>
          <w:sz w:val="20"/>
          <w:szCs w:val="20"/>
        </w:rPr>
        <w:t>MORENA</w:t>
      </w:r>
      <w:r>
        <w:rPr>
          <w:color w:val="595959"/>
        </w:rPr>
        <w:t xml:space="preserve">. Además, indicó que de este dinero se entregaron, en apoyos de $2,400 pesos, un total de $65,491,200 pesos a </w:t>
      </w:r>
      <w:r>
        <w:rPr>
          <w:color w:val="595959"/>
        </w:rPr>
        <w:lastRenderedPageBreak/>
        <w:t xml:space="preserve">27,288 damnificados de Chiapas, Ciudad de México, Estado de México, Guerrero, Morelos, Oaxaca y Puebla. </w:t>
      </w:r>
    </w:p>
    <w:p w14:paraId="4C6C1D52" w14:textId="088FCCA6" w:rsidR="008A34AE" w:rsidRDefault="00F35562">
      <w:pPr>
        <w:ind w:firstLine="720"/>
        <w:contextualSpacing w:val="0"/>
        <w:jc w:val="both"/>
        <w:rPr>
          <w:color w:val="595959"/>
        </w:rPr>
      </w:pPr>
      <w:r>
        <w:rPr>
          <w:color w:val="595959"/>
        </w:rPr>
        <w:t xml:space="preserve">En el video a través del cual se informaron estas cifras, también se indicó que aún no se han entregado $19,907,676.64 a 8,295 damnificados adicionales. Con esta cifra, se afirmó, habría un total de 35,483 afectadas y afectados con algún apoyo recibido. No obstante, se enfatizó que esta cantidad no se ha entregado aún por la sanción del </w:t>
      </w:r>
      <w:r>
        <w:rPr>
          <w:color w:val="595959"/>
          <w:sz w:val="20"/>
          <w:szCs w:val="20"/>
        </w:rPr>
        <w:t>INE</w:t>
      </w:r>
      <w:r w:rsidR="00456D96">
        <w:rPr>
          <w:color w:val="595959"/>
        </w:rPr>
        <w:t>, pues</w:t>
      </w:r>
      <w:r>
        <w:rPr>
          <w:color w:val="595959"/>
        </w:rPr>
        <w:t xml:space="preserve"> est</w:t>
      </w:r>
      <w:r w:rsidR="00456D96">
        <w:rPr>
          <w:color w:val="595959"/>
        </w:rPr>
        <w:t>án</w:t>
      </w:r>
      <w:r>
        <w:rPr>
          <w:color w:val="595959"/>
        </w:rPr>
        <w:t xml:space="preserve"> a la espera de la liberación de los fondos.  </w:t>
      </w:r>
    </w:p>
    <w:p w14:paraId="6AADB252" w14:textId="0FAAAA2A" w:rsidR="008A34AE" w:rsidRDefault="00F35562">
      <w:pPr>
        <w:ind w:firstLine="720"/>
        <w:contextualSpacing w:val="0"/>
        <w:jc w:val="both"/>
        <w:rPr>
          <w:color w:val="595959"/>
        </w:rPr>
      </w:pPr>
      <w:r>
        <w:rPr>
          <w:color w:val="595959"/>
        </w:rPr>
        <w:t xml:space="preserve">Se planteó que la meta era llegar a los 103 millones para beneficiar a 45,000 damnificados y el </w:t>
      </w:r>
      <w:r w:rsidR="00456D96">
        <w:rPr>
          <w:color w:val="595959"/>
        </w:rPr>
        <w:t>p</w:t>
      </w:r>
      <w:r>
        <w:rPr>
          <w:color w:val="595959"/>
        </w:rPr>
        <w:t xml:space="preserve">residente </w:t>
      </w:r>
      <w:r w:rsidR="006D727C">
        <w:rPr>
          <w:color w:val="595959"/>
        </w:rPr>
        <w:t>e</w:t>
      </w:r>
      <w:r>
        <w:rPr>
          <w:color w:val="595959"/>
        </w:rPr>
        <w:t xml:space="preserve">lecto invitó a que los militantes, simpatizantes y ciudadanos apoyaran para reunir esta cantidad. </w:t>
      </w:r>
    </w:p>
    <w:p w14:paraId="249EE455" w14:textId="6F581753" w:rsidR="008A34AE" w:rsidRDefault="00F35562">
      <w:pPr>
        <w:ind w:firstLine="720"/>
        <w:contextualSpacing w:val="0"/>
        <w:jc w:val="both"/>
        <w:rPr>
          <w:b/>
          <w:color w:val="262626"/>
          <w:sz w:val="24"/>
          <w:szCs w:val="24"/>
        </w:rPr>
      </w:pPr>
      <w:r>
        <w:rPr>
          <w:color w:val="595959"/>
        </w:rPr>
        <w:t xml:space="preserve">Por lo tanto, si esta campaña de recaudación va a ocurrir, resulta importante contar con información pública de la documentación de los ingresos y egresos desagregados por entidad federativa y </w:t>
      </w:r>
      <w:r w:rsidR="00456D96">
        <w:rPr>
          <w:color w:val="595959"/>
        </w:rPr>
        <w:t xml:space="preserve">con </w:t>
      </w:r>
      <w:r>
        <w:rPr>
          <w:color w:val="595959"/>
        </w:rPr>
        <w:t>un padrón de beneficiarios que dé cuenta de los apoyos otorgados.</w:t>
      </w:r>
    </w:p>
    <w:p w14:paraId="7EAA63F9" w14:textId="77777777" w:rsidR="008A34AE" w:rsidRPr="000951BC" w:rsidRDefault="00F35562" w:rsidP="00F80677">
      <w:pPr>
        <w:pStyle w:val="Ttulo1"/>
        <w:rPr>
          <w:highlight w:val="white"/>
        </w:rPr>
      </w:pPr>
      <w:bookmarkStart w:id="10" w:name="_Toc524361288"/>
      <w:r w:rsidRPr="000951BC">
        <w:rPr>
          <w:highlight w:val="white"/>
        </w:rPr>
        <w:t>Transparencia y rendición de cuentas de los recursos privados</w:t>
      </w:r>
      <w:bookmarkEnd w:id="10"/>
      <w:r w:rsidRPr="000951BC">
        <w:rPr>
          <w:highlight w:val="white"/>
        </w:rPr>
        <w:t xml:space="preserve"> </w:t>
      </w:r>
    </w:p>
    <w:p w14:paraId="69CA3227" w14:textId="77777777" w:rsidR="008A34AE" w:rsidRDefault="00F35562" w:rsidP="00F80677">
      <w:pPr>
        <w:pStyle w:val="Ttulo2"/>
      </w:pPr>
      <w:bookmarkStart w:id="11" w:name="_Toc524361289"/>
      <w:r>
        <w:t>Donativos de países extranjeros</w:t>
      </w:r>
      <w:bookmarkEnd w:id="11"/>
    </w:p>
    <w:p w14:paraId="0CF2F530" w14:textId="77777777" w:rsidR="008A34AE" w:rsidRDefault="00F35562">
      <w:pPr>
        <w:keepNext/>
        <w:keepLines/>
        <w:pBdr>
          <w:top w:val="nil"/>
          <w:left w:val="nil"/>
          <w:bottom w:val="nil"/>
          <w:right w:val="nil"/>
          <w:between w:val="nil"/>
        </w:pBdr>
        <w:spacing w:after="120"/>
        <w:contextualSpacing w:val="0"/>
        <w:jc w:val="both"/>
        <w:rPr>
          <w:color w:val="31849B"/>
        </w:rPr>
      </w:pPr>
      <w:r>
        <w:rPr>
          <w:color w:val="595959"/>
        </w:rPr>
        <w:t xml:space="preserve">Después de los sismos de septiembre de 2017 se otorgaron donativos a nivel nacional e internacional para atender la emergencia y para la reconstrucción. Sobre las donaciones de gobiernos extranjeros, el portal </w:t>
      </w:r>
      <w:r>
        <w:rPr>
          <w:color w:val="595959"/>
          <w:sz w:val="20"/>
          <w:szCs w:val="20"/>
        </w:rPr>
        <w:t>FM-TP</w:t>
      </w:r>
      <w:r>
        <w:rPr>
          <w:color w:val="595959"/>
        </w:rPr>
        <w:t xml:space="preserve"> informó que fue a través de la Secretaría de Relaciones Exteriores </w:t>
      </w:r>
      <w:r>
        <w:rPr>
          <w:color w:val="595959"/>
          <w:sz w:val="20"/>
          <w:szCs w:val="20"/>
        </w:rPr>
        <w:t>(SRE)</w:t>
      </w:r>
      <w:r>
        <w:rPr>
          <w:color w:val="595959"/>
        </w:rPr>
        <w:t xml:space="preserve"> que se conoció la ayuda oficial en especie, en apoyo técnico y en apoyo económico.</w:t>
      </w:r>
    </w:p>
    <w:p w14:paraId="5FB4DEF1" w14:textId="214EC708" w:rsidR="008A34AE" w:rsidRDefault="00F35562">
      <w:pPr>
        <w:ind w:firstLine="720"/>
        <w:contextualSpacing w:val="0"/>
        <w:jc w:val="both"/>
        <w:rPr>
          <w:color w:val="595959"/>
        </w:rPr>
      </w:pPr>
      <w:r>
        <w:rPr>
          <w:color w:val="595959"/>
        </w:rPr>
        <w:t xml:space="preserve">En particular, es relevante recordar que las donaciones económicas del extranjero no se dieron al gobierno de México, sino a diversas donatarias o fideicomisos nacionales autorizados por el Sistema de Administración Tributaria (SAT), o a organizaciones o fundaciones internacionales como la Cruz Roja Mexicana, </w:t>
      </w:r>
      <w:proofErr w:type="spellStart"/>
      <w:r>
        <w:rPr>
          <w:color w:val="595959"/>
        </w:rPr>
        <w:t>World</w:t>
      </w:r>
      <w:proofErr w:type="spellEnd"/>
      <w:r>
        <w:rPr>
          <w:color w:val="595959"/>
        </w:rPr>
        <w:t xml:space="preserve"> </w:t>
      </w:r>
      <w:proofErr w:type="spellStart"/>
      <w:r>
        <w:rPr>
          <w:color w:val="595959"/>
        </w:rPr>
        <w:t>Vision</w:t>
      </w:r>
      <w:proofErr w:type="spellEnd"/>
      <w:r>
        <w:rPr>
          <w:color w:val="595959"/>
        </w:rPr>
        <w:t xml:space="preserve"> México, la Nunciatura Apostólica en México o</w:t>
      </w:r>
      <w:r w:rsidR="006D727C">
        <w:rPr>
          <w:color w:val="595959"/>
        </w:rPr>
        <w:t>,</w:t>
      </w:r>
      <w:r>
        <w:rPr>
          <w:color w:val="595959"/>
        </w:rPr>
        <w:t xml:space="preserve"> principalmente</w:t>
      </w:r>
      <w:r w:rsidR="006D727C">
        <w:rPr>
          <w:color w:val="595959"/>
        </w:rPr>
        <w:t>,</w:t>
      </w:r>
      <w:r>
        <w:rPr>
          <w:color w:val="595959"/>
        </w:rPr>
        <w:t xml:space="preserve"> para la reconstrucción al Fideicomiso Fuerza México, que es un organismo creado por la iniciativa privada para apoyar en la reconstrucción de los </w:t>
      </w:r>
      <w:r w:rsidR="006D727C">
        <w:rPr>
          <w:color w:val="595959"/>
        </w:rPr>
        <w:t>e</w:t>
      </w:r>
      <w:r>
        <w:rPr>
          <w:color w:val="595959"/>
        </w:rPr>
        <w:t xml:space="preserve">stados dañados por los sismos. </w:t>
      </w:r>
    </w:p>
    <w:p w14:paraId="38D9BFB5" w14:textId="77777777" w:rsidR="008A34AE" w:rsidRDefault="00F35562">
      <w:pPr>
        <w:ind w:firstLine="720"/>
        <w:contextualSpacing w:val="0"/>
        <w:jc w:val="both"/>
        <w:rPr>
          <w:color w:val="595959"/>
        </w:rPr>
      </w:pPr>
      <w:r>
        <w:rPr>
          <w:color w:val="595959"/>
        </w:rPr>
        <w:t>Para este último fideicomiso, y dado que el mayor enfoque de este informe recae en la reconstrucción, cabe señalar que el micrositio FM-TP señaló que los siguientes gobiernos aportaron recursos económicos al Fideicomiso Fuerza México por: Bots</w:t>
      </w:r>
      <w:r w:rsidR="006D727C">
        <w:rPr>
          <w:color w:val="595959"/>
        </w:rPr>
        <w:t>u</w:t>
      </w:r>
      <w:r>
        <w:rPr>
          <w:color w:val="595959"/>
        </w:rPr>
        <w:t xml:space="preserve">ana (500,000 pesos filipinos), China (1,000,000 dólares), Corea (1,050,000 dólares), Francia (200,000 dólares), Kuwait (200,000 dólares), Tailandia (100,000 dólares). Sin embargo, se cotejó esta información con el Fideicomiso Fuerza México y se encontró que recibieron un millón de dólares por parte de Corea, a diferencia de lo reportado en el sitio por un millón cincuenta mil dólares; el Fideicomiso no recibió donativos ni de Botsuana ni de Kuwait y fue la Agencia Francesa para el Desarrollo quien hizo la donación por parte de Francia. </w:t>
      </w:r>
    </w:p>
    <w:p w14:paraId="149C5BC6" w14:textId="77777777" w:rsidR="008A34AE" w:rsidRDefault="00F35562">
      <w:pPr>
        <w:ind w:firstLine="720"/>
        <w:contextualSpacing w:val="0"/>
        <w:jc w:val="both"/>
        <w:rPr>
          <w:color w:val="0000FF"/>
        </w:rPr>
      </w:pPr>
      <w:r>
        <w:rPr>
          <w:color w:val="595959"/>
        </w:rPr>
        <w:t xml:space="preserve">Un dato importante que señaló Transparencia Presupuestaria a través de su cuenta de Twitter el 19 de julio de 2018, es que las aportaciones financieras se publicaron como tuvo conocimiento la </w:t>
      </w:r>
      <w:r>
        <w:rPr>
          <w:color w:val="595959"/>
          <w:sz w:val="20"/>
          <w:szCs w:val="20"/>
        </w:rPr>
        <w:t>SRE</w:t>
      </w:r>
      <w:r>
        <w:rPr>
          <w:color w:val="595959"/>
        </w:rPr>
        <w:t xml:space="preserve"> de las mismas, dado que no se recibieron por medio del gobierno ni se participó en su gestión. Sin embargo, dado que el portal </w:t>
      </w:r>
      <w:r>
        <w:rPr>
          <w:color w:val="595959"/>
          <w:sz w:val="20"/>
          <w:szCs w:val="20"/>
        </w:rPr>
        <w:t>FM-TP</w:t>
      </w:r>
      <w:r>
        <w:rPr>
          <w:color w:val="595959"/>
        </w:rPr>
        <w:t xml:space="preserve"> fue el instrumento que el propio gobierno proporcionó para hacer pública la información, sería conveniente que dich</w:t>
      </w:r>
      <w:r w:rsidR="006D727C">
        <w:rPr>
          <w:color w:val="595959"/>
        </w:rPr>
        <w:t>os</w:t>
      </w:r>
      <w:r>
        <w:rPr>
          <w:color w:val="595959"/>
        </w:rPr>
        <w:t xml:space="preserve"> </w:t>
      </w:r>
      <w:r w:rsidR="006D727C">
        <w:rPr>
          <w:color w:val="595959"/>
        </w:rPr>
        <w:t>datos</w:t>
      </w:r>
      <w:r>
        <w:rPr>
          <w:color w:val="595959"/>
        </w:rPr>
        <w:t xml:space="preserve"> fuera</w:t>
      </w:r>
      <w:r w:rsidR="006D727C">
        <w:rPr>
          <w:color w:val="595959"/>
        </w:rPr>
        <w:t>n</w:t>
      </w:r>
      <w:r>
        <w:rPr>
          <w:color w:val="595959"/>
        </w:rPr>
        <w:t xml:space="preserve"> verificad</w:t>
      </w:r>
      <w:r w:rsidR="006D727C">
        <w:rPr>
          <w:color w:val="595959"/>
        </w:rPr>
        <w:t>os</w:t>
      </w:r>
      <w:r>
        <w:rPr>
          <w:color w:val="595959"/>
        </w:rPr>
        <w:t xml:space="preserve"> para dar certeza a la ciudadanía de las donaciones que se recibieron y el destino que tuvieron.</w:t>
      </w:r>
    </w:p>
    <w:p w14:paraId="4D796650" w14:textId="77777777" w:rsidR="008A34AE" w:rsidRDefault="00F35562" w:rsidP="00F80677">
      <w:pPr>
        <w:pStyle w:val="Ttulo2"/>
      </w:pPr>
      <w:bookmarkStart w:id="12" w:name="_Toc524361290"/>
      <w:r>
        <w:lastRenderedPageBreak/>
        <w:t>Donativos nacionales y extranjeros: Recaudación por parte de donatarias y fideicomisos autorizados por la SHCP</w:t>
      </w:r>
      <w:bookmarkEnd w:id="12"/>
    </w:p>
    <w:p w14:paraId="4556EB6C" w14:textId="6636331A" w:rsidR="008A34AE" w:rsidRDefault="00F35562">
      <w:pPr>
        <w:contextualSpacing w:val="0"/>
        <w:jc w:val="both"/>
        <w:rPr>
          <w:color w:val="595959"/>
        </w:rPr>
      </w:pPr>
      <w:r w:rsidRPr="00FB1F89">
        <w:rPr>
          <w:color w:val="595959"/>
        </w:rPr>
        <w:t xml:space="preserve">La </w:t>
      </w:r>
      <w:r w:rsidRPr="0028709C">
        <w:rPr>
          <w:color w:val="595959"/>
          <w:sz w:val="20"/>
          <w:szCs w:val="20"/>
        </w:rPr>
        <w:t>SHCP,</w:t>
      </w:r>
      <w:r w:rsidRPr="00FB1F89">
        <w:rPr>
          <w:color w:val="595959"/>
        </w:rPr>
        <w:t xml:space="preserve"> a través del Servicio de Administración Tributaria </w:t>
      </w:r>
      <w:r w:rsidRPr="00FB1F89">
        <w:rPr>
          <w:color w:val="595959"/>
          <w:sz w:val="20"/>
          <w:szCs w:val="20"/>
        </w:rPr>
        <w:t>(SAT)</w:t>
      </w:r>
      <w:r w:rsidR="00456D96" w:rsidRPr="00FB1F89">
        <w:rPr>
          <w:color w:val="595959"/>
          <w:sz w:val="20"/>
          <w:szCs w:val="20"/>
        </w:rPr>
        <w:t>,</w:t>
      </w:r>
      <w:r w:rsidRPr="00FB1F89">
        <w:rPr>
          <w:color w:val="595959"/>
          <w:sz w:val="20"/>
          <w:szCs w:val="20"/>
        </w:rPr>
        <w:t xml:space="preserve"> </w:t>
      </w:r>
      <w:r w:rsidRPr="00FB1F89">
        <w:rPr>
          <w:color w:val="595959"/>
        </w:rPr>
        <w:t xml:space="preserve">se dio a la tarea de solicitar a las donatarias y fideicomisos autorizados tres </w:t>
      </w:r>
      <w:r w:rsidRPr="0028709C">
        <w:rPr>
          <w:i/>
          <w:color w:val="595959"/>
        </w:rPr>
        <w:t>Informes de transparencia relacionados con donativos recibidos por los sismos ocurridos en México</w:t>
      </w:r>
      <w:r>
        <w:rPr>
          <w:color w:val="595959"/>
        </w:rPr>
        <w:t xml:space="preserve"> durante septiembre de 2017. De septiembre de 2017 a mayo de 2018 ha hecho públicas tres bases de datos y dos informes. </w:t>
      </w:r>
    </w:p>
    <w:p w14:paraId="32925857" w14:textId="77777777" w:rsidR="008A34AE" w:rsidRDefault="00F35562">
      <w:pPr>
        <w:ind w:firstLine="720"/>
        <w:contextualSpacing w:val="0"/>
        <w:jc w:val="both"/>
        <w:rPr>
          <w:color w:val="0000FF"/>
        </w:rPr>
      </w:pPr>
      <w:r>
        <w:rPr>
          <w:color w:val="595959"/>
        </w:rPr>
        <w:t xml:space="preserve">El valor monetario del total de recursos recibidos o que se prevé destinar al apoyo a personas afectadas por los sismos reportado a Hacienda a la fecha de la última base de datos del 31 de mayo de 2018, fue por $3,904,576,949.46 pesos donados a 693 donatarias y fideicomisos autorizados de acuerdo con el número de Registro Federal de Causantes </w:t>
      </w:r>
      <w:r>
        <w:rPr>
          <w:color w:val="595959"/>
          <w:sz w:val="20"/>
          <w:szCs w:val="20"/>
        </w:rPr>
        <w:t>(RFC)</w:t>
      </w:r>
      <w:r>
        <w:rPr>
          <w:color w:val="595959"/>
        </w:rPr>
        <w:t xml:space="preserve"> registrado; de los cu</w:t>
      </w:r>
      <w:r w:rsidR="003300FF">
        <w:rPr>
          <w:color w:val="595959"/>
        </w:rPr>
        <w:t>a</w:t>
      </w:r>
      <w:r>
        <w:rPr>
          <w:color w:val="595959"/>
        </w:rPr>
        <w:t>les $3,480,476,143.87 fueron en efectivo (89.1% del total) y $424,100,805.58 en especie (10.9% del total)</w:t>
      </w:r>
      <w:r>
        <w:rPr>
          <w:color w:val="595959"/>
          <w:vertAlign w:val="superscript"/>
        </w:rPr>
        <w:footnoteReference w:id="13"/>
      </w:r>
      <w:r>
        <w:rPr>
          <w:color w:val="595959"/>
        </w:rPr>
        <w:t xml:space="preserve">. </w:t>
      </w:r>
    </w:p>
    <w:p w14:paraId="3353CDBC" w14:textId="77777777" w:rsidR="008A34AE" w:rsidRDefault="00F35562" w:rsidP="00F80677">
      <w:pPr>
        <w:pStyle w:val="Ttulo2"/>
      </w:pPr>
      <w:bookmarkStart w:id="13" w:name="_Toc524361291"/>
      <w:r>
        <w:t>Origen de los donativos</w:t>
      </w:r>
      <w:bookmarkEnd w:id="13"/>
    </w:p>
    <w:p w14:paraId="31086DC1" w14:textId="77777777" w:rsidR="008A34AE" w:rsidRDefault="00F35562">
      <w:pPr>
        <w:contextualSpacing w:val="0"/>
        <w:jc w:val="both"/>
        <w:rPr>
          <w:b/>
          <w:color w:val="0000FF"/>
        </w:rPr>
      </w:pPr>
      <w:r>
        <w:rPr>
          <w:color w:val="595959"/>
        </w:rPr>
        <w:t>De los $3,904,576,949.46 pesos en valor monetario, $3,317,745,489.58 corresponden a donativos nacionales (85%) y $586,831,459.88 (15%) a donativos provenientes del extranjero.</w:t>
      </w:r>
    </w:p>
    <w:p w14:paraId="2B675164" w14:textId="77777777" w:rsidR="008A34AE" w:rsidRDefault="00F35562" w:rsidP="00F80677">
      <w:pPr>
        <w:pStyle w:val="Ttulo2"/>
      </w:pPr>
      <w:bookmarkStart w:id="14" w:name="_Toc524361292"/>
      <w:r>
        <w:t>Las cinco donatarias con mayor cantidad de donativos</w:t>
      </w:r>
      <w:bookmarkEnd w:id="14"/>
    </w:p>
    <w:p w14:paraId="35AA3FB9" w14:textId="48536B4C" w:rsidR="008A34AE" w:rsidRDefault="00F35562">
      <w:pPr>
        <w:contextualSpacing w:val="0"/>
        <w:jc w:val="both"/>
        <w:rPr>
          <w:color w:val="595959"/>
        </w:rPr>
      </w:pPr>
      <w:r>
        <w:rPr>
          <w:color w:val="595959"/>
        </w:rPr>
        <w:t xml:space="preserve">Las cinco donatarias y fideicomisos autorizados que recibieron mayor cantidad de donativos fueron la Cruz Roja Mexicana, la Fundación Carlos Slim, el Fideicomiso Fuerza México, la Fundación </w:t>
      </w:r>
      <w:r>
        <w:rPr>
          <w:color w:val="595959"/>
          <w:sz w:val="20"/>
          <w:szCs w:val="20"/>
        </w:rPr>
        <w:t>BBVA</w:t>
      </w:r>
      <w:r>
        <w:rPr>
          <w:color w:val="595959"/>
        </w:rPr>
        <w:t xml:space="preserve"> Bancomer y Fomento Social Banamex. En la tabla 10 se señala la información proporcionada al </w:t>
      </w:r>
      <w:r>
        <w:rPr>
          <w:color w:val="595959"/>
          <w:sz w:val="20"/>
          <w:szCs w:val="20"/>
        </w:rPr>
        <w:t>SAT</w:t>
      </w:r>
      <w:r w:rsidR="00456D96">
        <w:rPr>
          <w:color w:val="595959"/>
          <w:sz w:val="20"/>
          <w:szCs w:val="20"/>
        </w:rPr>
        <w:t>,</w:t>
      </w:r>
      <w:r>
        <w:rPr>
          <w:color w:val="595959"/>
        </w:rPr>
        <w:t xml:space="preserve"> relacionada con los donativos recibidos y el ejercicio de estos al 31 de mayo de 2018 y su respectiva actualización al 6 de septiembre de 2018</w:t>
      </w:r>
      <w:r w:rsidR="00456D96">
        <w:rPr>
          <w:color w:val="595959"/>
        </w:rPr>
        <w:t>,</w:t>
      </w:r>
      <w:r>
        <w:rPr>
          <w:color w:val="595959"/>
        </w:rPr>
        <w:t xml:space="preserve"> de acuerdo con la información publicada en las páginas electrónicas de cada una.</w:t>
      </w:r>
    </w:p>
    <w:p w14:paraId="5F5B603E" w14:textId="77777777" w:rsidR="008A34AE" w:rsidRDefault="008A34AE">
      <w:pPr>
        <w:contextualSpacing w:val="0"/>
        <w:jc w:val="both"/>
        <w:rPr>
          <w:b/>
          <w:color w:val="595959"/>
        </w:rPr>
      </w:pPr>
    </w:p>
    <w:p w14:paraId="4F8801AA" w14:textId="77777777" w:rsidR="000951BC" w:rsidRDefault="000951BC">
      <w:pPr>
        <w:widowControl w:val="0"/>
        <w:pBdr>
          <w:top w:val="nil"/>
          <w:left w:val="nil"/>
          <w:bottom w:val="nil"/>
          <w:right w:val="nil"/>
          <w:between w:val="nil"/>
        </w:pBdr>
        <w:contextualSpacing w:val="0"/>
      </w:pPr>
    </w:p>
    <w:p w14:paraId="2FB4BA1D" w14:textId="77777777" w:rsidR="000951BC" w:rsidRDefault="000951BC">
      <w:pPr>
        <w:widowControl w:val="0"/>
        <w:pBdr>
          <w:top w:val="nil"/>
          <w:left w:val="nil"/>
          <w:bottom w:val="nil"/>
          <w:right w:val="nil"/>
          <w:between w:val="nil"/>
        </w:pBdr>
        <w:contextualSpacing w:val="0"/>
      </w:pPr>
    </w:p>
    <w:p w14:paraId="4354BED4" w14:textId="77777777" w:rsidR="000951BC" w:rsidRDefault="000951BC">
      <w:pPr>
        <w:widowControl w:val="0"/>
        <w:pBdr>
          <w:top w:val="nil"/>
          <w:left w:val="nil"/>
          <w:bottom w:val="nil"/>
          <w:right w:val="nil"/>
          <w:between w:val="nil"/>
        </w:pBdr>
        <w:contextualSpacing w:val="0"/>
      </w:pPr>
    </w:p>
    <w:p w14:paraId="2529B21E" w14:textId="77777777" w:rsidR="000951BC" w:rsidRDefault="000951BC">
      <w:pPr>
        <w:widowControl w:val="0"/>
        <w:pBdr>
          <w:top w:val="nil"/>
          <w:left w:val="nil"/>
          <w:bottom w:val="nil"/>
          <w:right w:val="nil"/>
          <w:between w:val="nil"/>
        </w:pBdr>
        <w:contextualSpacing w:val="0"/>
      </w:pPr>
    </w:p>
    <w:p w14:paraId="4BA30057" w14:textId="77777777" w:rsidR="000951BC" w:rsidRDefault="000951BC">
      <w:pPr>
        <w:widowControl w:val="0"/>
        <w:pBdr>
          <w:top w:val="nil"/>
          <w:left w:val="nil"/>
          <w:bottom w:val="nil"/>
          <w:right w:val="nil"/>
          <w:between w:val="nil"/>
        </w:pBdr>
        <w:contextualSpacing w:val="0"/>
      </w:pPr>
    </w:p>
    <w:p w14:paraId="4750E278" w14:textId="77777777" w:rsidR="000951BC" w:rsidRDefault="000951BC">
      <w:pPr>
        <w:widowControl w:val="0"/>
        <w:pBdr>
          <w:top w:val="nil"/>
          <w:left w:val="nil"/>
          <w:bottom w:val="nil"/>
          <w:right w:val="nil"/>
          <w:between w:val="nil"/>
        </w:pBdr>
        <w:contextualSpacing w:val="0"/>
      </w:pPr>
    </w:p>
    <w:p w14:paraId="050CFFC5" w14:textId="77777777" w:rsidR="000951BC" w:rsidRDefault="000951BC">
      <w:pPr>
        <w:widowControl w:val="0"/>
        <w:pBdr>
          <w:top w:val="nil"/>
          <w:left w:val="nil"/>
          <w:bottom w:val="nil"/>
          <w:right w:val="nil"/>
          <w:between w:val="nil"/>
        </w:pBdr>
        <w:contextualSpacing w:val="0"/>
      </w:pPr>
    </w:p>
    <w:p w14:paraId="5EBCEACD" w14:textId="77777777" w:rsidR="000951BC" w:rsidRDefault="000951BC">
      <w:pPr>
        <w:widowControl w:val="0"/>
        <w:pBdr>
          <w:top w:val="nil"/>
          <w:left w:val="nil"/>
          <w:bottom w:val="nil"/>
          <w:right w:val="nil"/>
          <w:between w:val="nil"/>
        </w:pBdr>
        <w:contextualSpacing w:val="0"/>
      </w:pPr>
    </w:p>
    <w:p w14:paraId="1088AA32" w14:textId="77777777" w:rsidR="000951BC" w:rsidRDefault="000951BC">
      <w:pPr>
        <w:widowControl w:val="0"/>
        <w:pBdr>
          <w:top w:val="nil"/>
          <w:left w:val="nil"/>
          <w:bottom w:val="nil"/>
          <w:right w:val="nil"/>
          <w:between w:val="nil"/>
        </w:pBdr>
        <w:contextualSpacing w:val="0"/>
      </w:pPr>
    </w:p>
    <w:p w14:paraId="65F5ECF8" w14:textId="77777777" w:rsidR="000951BC" w:rsidRDefault="000951BC">
      <w:pPr>
        <w:widowControl w:val="0"/>
        <w:pBdr>
          <w:top w:val="nil"/>
          <w:left w:val="nil"/>
          <w:bottom w:val="nil"/>
          <w:right w:val="nil"/>
          <w:between w:val="nil"/>
        </w:pBdr>
        <w:contextualSpacing w:val="0"/>
      </w:pPr>
    </w:p>
    <w:p w14:paraId="2690D7C3" w14:textId="77777777" w:rsidR="000951BC" w:rsidRDefault="000951BC">
      <w:pPr>
        <w:widowControl w:val="0"/>
        <w:pBdr>
          <w:top w:val="nil"/>
          <w:left w:val="nil"/>
          <w:bottom w:val="nil"/>
          <w:right w:val="nil"/>
          <w:between w:val="nil"/>
        </w:pBdr>
        <w:contextualSpacing w:val="0"/>
      </w:pPr>
    </w:p>
    <w:p w14:paraId="1DB21C5F" w14:textId="77777777" w:rsidR="000951BC" w:rsidRDefault="000951BC">
      <w:pPr>
        <w:widowControl w:val="0"/>
        <w:pBdr>
          <w:top w:val="nil"/>
          <w:left w:val="nil"/>
          <w:bottom w:val="nil"/>
          <w:right w:val="nil"/>
          <w:between w:val="nil"/>
        </w:pBdr>
        <w:contextualSpacing w:val="0"/>
      </w:pPr>
    </w:p>
    <w:p w14:paraId="54F73BC2" w14:textId="77777777" w:rsidR="000951BC" w:rsidRDefault="000951BC">
      <w:pPr>
        <w:widowControl w:val="0"/>
        <w:pBdr>
          <w:top w:val="nil"/>
          <w:left w:val="nil"/>
          <w:bottom w:val="nil"/>
          <w:right w:val="nil"/>
          <w:between w:val="nil"/>
        </w:pBdr>
        <w:contextualSpacing w:val="0"/>
      </w:pPr>
    </w:p>
    <w:p w14:paraId="2BBC53C0" w14:textId="77777777" w:rsidR="008A34AE" w:rsidRDefault="00F35562">
      <w:pPr>
        <w:widowControl w:val="0"/>
        <w:pBdr>
          <w:top w:val="nil"/>
          <w:left w:val="nil"/>
          <w:bottom w:val="nil"/>
          <w:right w:val="nil"/>
          <w:between w:val="nil"/>
        </w:pBdr>
        <w:contextualSpacing w:val="0"/>
        <w:rPr>
          <w:b/>
          <w:color w:val="595959"/>
        </w:rPr>
        <w:sectPr w:rsidR="008A34AE" w:rsidSect="00F35562">
          <w:pgSz w:w="11909" w:h="16834"/>
          <w:pgMar w:top="1440" w:right="1440" w:bottom="1440" w:left="1440" w:header="0" w:footer="720" w:gutter="0"/>
          <w:cols w:space="720"/>
        </w:sectPr>
      </w:pPr>
      <w:r>
        <w:br w:type="page"/>
      </w:r>
    </w:p>
    <w:p w14:paraId="72E5B128" w14:textId="77777777" w:rsidR="008A34AE" w:rsidRDefault="00F35562" w:rsidP="000951BC">
      <w:pPr>
        <w:contextualSpacing w:val="0"/>
        <w:jc w:val="center"/>
        <w:rPr>
          <w:b/>
          <w:color w:val="595959"/>
        </w:rPr>
      </w:pPr>
      <w:r>
        <w:rPr>
          <w:b/>
          <w:color w:val="595959"/>
        </w:rPr>
        <w:lastRenderedPageBreak/>
        <w:t xml:space="preserve">Tabla 10. Donativos recibidos, intereses y egresos de las cinco donatarias autorizadas por la </w:t>
      </w:r>
      <w:r>
        <w:rPr>
          <w:b/>
          <w:color w:val="595959"/>
          <w:sz w:val="20"/>
          <w:szCs w:val="20"/>
        </w:rPr>
        <w:t>SHCP</w:t>
      </w:r>
      <w:r>
        <w:rPr>
          <w:b/>
          <w:color w:val="595959"/>
        </w:rPr>
        <w:t>, con mayor cantidad de donativos</w:t>
      </w:r>
    </w:p>
    <w:tbl>
      <w:tblPr>
        <w:tblStyle w:val="a8"/>
        <w:tblW w:w="15195" w:type="dxa"/>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50"/>
        <w:gridCol w:w="1626"/>
        <w:gridCol w:w="992"/>
        <w:gridCol w:w="1843"/>
        <w:gridCol w:w="2410"/>
        <w:gridCol w:w="1701"/>
        <w:gridCol w:w="1559"/>
        <w:gridCol w:w="1984"/>
        <w:gridCol w:w="2630"/>
      </w:tblGrid>
      <w:tr w:rsidR="008A34AE" w14:paraId="72BD5102" w14:textId="77777777">
        <w:trPr>
          <w:trHeight w:val="2160"/>
        </w:trPr>
        <w:tc>
          <w:tcPr>
            <w:tcW w:w="450" w:type="dxa"/>
            <w:tcBorders>
              <w:top w:val="single" w:sz="4" w:space="0" w:color="000000"/>
              <w:left w:val="single" w:sz="4" w:space="0" w:color="000000"/>
              <w:bottom w:val="single" w:sz="4" w:space="0" w:color="000000"/>
              <w:right w:val="single" w:sz="4" w:space="0" w:color="000000"/>
            </w:tcBorders>
            <w:shd w:val="clear" w:color="auto" w:fill="205968"/>
            <w:tcMar>
              <w:top w:w="0" w:type="dxa"/>
              <w:left w:w="40" w:type="dxa"/>
              <w:bottom w:w="0" w:type="dxa"/>
              <w:right w:w="40" w:type="dxa"/>
            </w:tcMar>
            <w:vAlign w:val="center"/>
          </w:tcPr>
          <w:p w14:paraId="70CA4583" w14:textId="77777777" w:rsidR="008A34AE" w:rsidRDefault="00F35562">
            <w:pPr>
              <w:spacing w:line="240" w:lineRule="auto"/>
              <w:contextualSpacing w:val="0"/>
              <w:jc w:val="center"/>
              <w:rPr>
                <w:b/>
                <w:color w:val="FFFFFF"/>
              </w:rPr>
            </w:pPr>
            <w:r>
              <w:rPr>
                <w:b/>
                <w:color w:val="FFFFFF"/>
                <w:sz w:val="20"/>
                <w:szCs w:val="20"/>
              </w:rPr>
              <w:t>No.</w:t>
            </w:r>
          </w:p>
        </w:tc>
        <w:tc>
          <w:tcPr>
            <w:tcW w:w="1626" w:type="dxa"/>
            <w:tcBorders>
              <w:top w:val="single" w:sz="4" w:space="0" w:color="000000"/>
              <w:left w:val="single" w:sz="4" w:space="0" w:color="000000"/>
              <w:bottom w:val="single" w:sz="4" w:space="0" w:color="000000"/>
              <w:right w:val="single" w:sz="4" w:space="0" w:color="000000"/>
            </w:tcBorders>
            <w:shd w:val="clear" w:color="auto" w:fill="205968"/>
            <w:tcMar>
              <w:top w:w="0" w:type="dxa"/>
              <w:left w:w="40" w:type="dxa"/>
              <w:bottom w:w="0" w:type="dxa"/>
              <w:right w:w="40" w:type="dxa"/>
            </w:tcMar>
            <w:vAlign w:val="center"/>
          </w:tcPr>
          <w:p w14:paraId="1AD9A7B5" w14:textId="77777777" w:rsidR="008A34AE" w:rsidRDefault="00F35562">
            <w:pPr>
              <w:spacing w:line="240" w:lineRule="auto"/>
              <w:contextualSpacing w:val="0"/>
              <w:jc w:val="center"/>
              <w:rPr>
                <w:b/>
                <w:color w:val="FFFFFF"/>
                <w:sz w:val="20"/>
                <w:szCs w:val="20"/>
              </w:rPr>
            </w:pPr>
            <w:r>
              <w:rPr>
                <w:b/>
                <w:color w:val="FFFFFF"/>
                <w:sz w:val="20"/>
                <w:szCs w:val="20"/>
              </w:rPr>
              <w:t xml:space="preserve">Razón </w:t>
            </w:r>
            <w:r w:rsidR="003300FF">
              <w:rPr>
                <w:b/>
                <w:color w:val="FFFFFF"/>
                <w:sz w:val="20"/>
                <w:szCs w:val="20"/>
              </w:rPr>
              <w:t>s</w:t>
            </w:r>
            <w:r>
              <w:rPr>
                <w:b/>
                <w:color w:val="FFFFFF"/>
                <w:sz w:val="20"/>
                <w:szCs w:val="20"/>
              </w:rPr>
              <w:t>ocial</w:t>
            </w:r>
          </w:p>
        </w:tc>
        <w:tc>
          <w:tcPr>
            <w:tcW w:w="992" w:type="dxa"/>
            <w:tcBorders>
              <w:top w:val="single" w:sz="4" w:space="0" w:color="000000"/>
              <w:left w:val="single" w:sz="4" w:space="0" w:color="000000"/>
              <w:bottom w:val="single" w:sz="4" w:space="0" w:color="000000"/>
              <w:right w:val="single" w:sz="4" w:space="0" w:color="000000"/>
            </w:tcBorders>
            <w:shd w:val="clear" w:color="auto" w:fill="205968"/>
            <w:tcMar>
              <w:top w:w="0" w:type="dxa"/>
              <w:left w:w="40" w:type="dxa"/>
              <w:bottom w:w="0" w:type="dxa"/>
              <w:right w:w="40" w:type="dxa"/>
            </w:tcMar>
            <w:vAlign w:val="center"/>
          </w:tcPr>
          <w:p w14:paraId="2B037AA2" w14:textId="77777777" w:rsidR="008A34AE" w:rsidRDefault="00F35562">
            <w:pPr>
              <w:spacing w:line="240" w:lineRule="auto"/>
              <w:contextualSpacing w:val="0"/>
              <w:jc w:val="center"/>
              <w:rPr>
                <w:b/>
                <w:color w:val="FFFFFF"/>
                <w:sz w:val="20"/>
                <w:szCs w:val="20"/>
              </w:rPr>
            </w:pPr>
            <w:r>
              <w:rPr>
                <w:b/>
                <w:color w:val="FFFFFF"/>
                <w:sz w:val="20"/>
                <w:szCs w:val="20"/>
              </w:rPr>
              <w:t xml:space="preserve">Tipo de </w:t>
            </w:r>
            <w:r w:rsidR="003300FF">
              <w:rPr>
                <w:b/>
                <w:color w:val="FFFFFF"/>
                <w:sz w:val="20"/>
                <w:szCs w:val="20"/>
              </w:rPr>
              <w:t>d</w:t>
            </w:r>
            <w:r>
              <w:rPr>
                <w:b/>
                <w:color w:val="FFFFFF"/>
                <w:sz w:val="20"/>
                <w:szCs w:val="20"/>
              </w:rPr>
              <w:t>onativo</w:t>
            </w:r>
          </w:p>
        </w:tc>
        <w:tc>
          <w:tcPr>
            <w:tcW w:w="1843" w:type="dxa"/>
            <w:tcBorders>
              <w:top w:val="single" w:sz="4" w:space="0" w:color="000000"/>
              <w:left w:val="single" w:sz="4" w:space="0" w:color="000000"/>
              <w:bottom w:val="single" w:sz="4" w:space="0" w:color="000000"/>
              <w:right w:val="single" w:sz="4" w:space="0" w:color="000000"/>
            </w:tcBorders>
            <w:shd w:val="clear" w:color="auto" w:fill="205968"/>
            <w:tcMar>
              <w:top w:w="0" w:type="dxa"/>
              <w:left w:w="40" w:type="dxa"/>
              <w:bottom w:w="0" w:type="dxa"/>
              <w:right w:w="40" w:type="dxa"/>
            </w:tcMar>
            <w:vAlign w:val="center"/>
          </w:tcPr>
          <w:p w14:paraId="3F847550" w14:textId="77777777" w:rsidR="008A34AE" w:rsidRDefault="00F35562">
            <w:pPr>
              <w:spacing w:line="240" w:lineRule="auto"/>
              <w:contextualSpacing w:val="0"/>
              <w:jc w:val="center"/>
              <w:rPr>
                <w:b/>
                <w:color w:val="FFFFFF"/>
                <w:sz w:val="20"/>
                <w:szCs w:val="20"/>
              </w:rPr>
            </w:pPr>
            <w:r>
              <w:rPr>
                <w:b/>
                <w:color w:val="FFFFFF"/>
                <w:sz w:val="20"/>
                <w:szCs w:val="20"/>
              </w:rPr>
              <w:t xml:space="preserve">Suma de </w:t>
            </w:r>
            <w:r w:rsidR="003300FF">
              <w:rPr>
                <w:b/>
                <w:color w:val="FFFFFF"/>
                <w:sz w:val="20"/>
                <w:szCs w:val="20"/>
              </w:rPr>
              <w:t>v</w:t>
            </w:r>
            <w:r>
              <w:rPr>
                <w:b/>
                <w:color w:val="FFFFFF"/>
                <w:sz w:val="20"/>
                <w:szCs w:val="20"/>
              </w:rPr>
              <w:t xml:space="preserve">alor </w:t>
            </w:r>
            <w:r w:rsidR="003300FF">
              <w:rPr>
                <w:b/>
                <w:color w:val="FFFFFF"/>
                <w:sz w:val="20"/>
                <w:szCs w:val="20"/>
              </w:rPr>
              <w:t>m</w:t>
            </w:r>
            <w:r>
              <w:rPr>
                <w:b/>
                <w:color w:val="FFFFFF"/>
                <w:sz w:val="20"/>
                <w:szCs w:val="20"/>
              </w:rPr>
              <w:t>onetario de donativos recibidos en pesos reportados al SAT al 31/05/2018</w:t>
            </w:r>
          </w:p>
        </w:tc>
        <w:tc>
          <w:tcPr>
            <w:tcW w:w="2410" w:type="dxa"/>
            <w:tcBorders>
              <w:top w:val="single" w:sz="4" w:space="0" w:color="000000"/>
              <w:left w:val="single" w:sz="4" w:space="0" w:color="000000"/>
              <w:bottom w:val="single" w:sz="4" w:space="0" w:color="000000"/>
              <w:right w:val="single" w:sz="4" w:space="0" w:color="000000"/>
            </w:tcBorders>
            <w:shd w:val="clear" w:color="auto" w:fill="205968"/>
            <w:tcMar>
              <w:top w:w="0" w:type="dxa"/>
              <w:left w:w="40" w:type="dxa"/>
              <w:bottom w:w="0" w:type="dxa"/>
              <w:right w:w="40" w:type="dxa"/>
            </w:tcMar>
            <w:vAlign w:val="center"/>
          </w:tcPr>
          <w:p w14:paraId="57955D72" w14:textId="77777777" w:rsidR="008A34AE" w:rsidRDefault="00F35562">
            <w:pPr>
              <w:spacing w:line="240" w:lineRule="auto"/>
              <w:contextualSpacing w:val="0"/>
              <w:jc w:val="center"/>
              <w:rPr>
                <w:b/>
                <w:color w:val="FFFFFF"/>
                <w:sz w:val="20"/>
                <w:szCs w:val="20"/>
              </w:rPr>
            </w:pPr>
            <w:r>
              <w:rPr>
                <w:b/>
                <w:color w:val="FFFFFF"/>
                <w:sz w:val="20"/>
                <w:szCs w:val="20"/>
              </w:rPr>
              <w:t xml:space="preserve">Suma de </w:t>
            </w:r>
            <w:r w:rsidR="003300FF">
              <w:rPr>
                <w:b/>
                <w:color w:val="FFFFFF"/>
                <w:sz w:val="20"/>
                <w:szCs w:val="20"/>
              </w:rPr>
              <w:t>v</w:t>
            </w:r>
            <w:r>
              <w:rPr>
                <w:b/>
                <w:color w:val="FFFFFF"/>
                <w:sz w:val="20"/>
                <w:szCs w:val="20"/>
              </w:rPr>
              <w:t xml:space="preserve">alor </w:t>
            </w:r>
            <w:r w:rsidR="003300FF">
              <w:rPr>
                <w:b/>
                <w:color w:val="FFFFFF"/>
                <w:sz w:val="20"/>
                <w:szCs w:val="20"/>
              </w:rPr>
              <w:t>m</w:t>
            </w:r>
            <w:r>
              <w:rPr>
                <w:b/>
                <w:color w:val="FFFFFF"/>
                <w:sz w:val="20"/>
                <w:szCs w:val="20"/>
              </w:rPr>
              <w:t>onetario de donativos recibidos publicados en su página electrónica al 6/09/2018</w:t>
            </w:r>
          </w:p>
        </w:tc>
        <w:tc>
          <w:tcPr>
            <w:tcW w:w="1701" w:type="dxa"/>
            <w:tcBorders>
              <w:top w:val="single" w:sz="4" w:space="0" w:color="000000"/>
              <w:left w:val="single" w:sz="4" w:space="0" w:color="000000"/>
              <w:bottom w:val="single" w:sz="4" w:space="0" w:color="000000"/>
              <w:right w:val="single" w:sz="4" w:space="0" w:color="000000"/>
            </w:tcBorders>
            <w:shd w:val="clear" w:color="auto" w:fill="205968"/>
            <w:tcMar>
              <w:top w:w="0" w:type="dxa"/>
              <w:left w:w="40" w:type="dxa"/>
              <w:bottom w:w="0" w:type="dxa"/>
              <w:right w:w="40" w:type="dxa"/>
            </w:tcMar>
            <w:vAlign w:val="center"/>
          </w:tcPr>
          <w:p w14:paraId="182EC106" w14:textId="77777777" w:rsidR="008A34AE" w:rsidRDefault="00F35562">
            <w:pPr>
              <w:spacing w:line="240" w:lineRule="auto"/>
              <w:contextualSpacing w:val="0"/>
              <w:jc w:val="center"/>
              <w:rPr>
                <w:b/>
                <w:color w:val="FFFFFF"/>
                <w:sz w:val="20"/>
                <w:szCs w:val="20"/>
              </w:rPr>
            </w:pPr>
            <w:r>
              <w:rPr>
                <w:b/>
                <w:color w:val="FFFFFF"/>
                <w:sz w:val="20"/>
                <w:szCs w:val="20"/>
              </w:rPr>
              <w:t>Donativos de</w:t>
            </w:r>
            <w:r>
              <w:rPr>
                <w:b/>
                <w:color w:val="FFFFFF"/>
                <w:sz w:val="20"/>
                <w:szCs w:val="20"/>
              </w:rPr>
              <w:br/>
              <w:t>recursos</w:t>
            </w:r>
            <w:r>
              <w:rPr>
                <w:b/>
                <w:color w:val="FFFFFF"/>
                <w:sz w:val="20"/>
                <w:szCs w:val="20"/>
              </w:rPr>
              <w:br/>
              <w:t>propios en</w:t>
            </w:r>
            <w:r>
              <w:rPr>
                <w:b/>
                <w:color w:val="FFFFFF"/>
                <w:sz w:val="20"/>
                <w:szCs w:val="20"/>
              </w:rPr>
              <w:br/>
              <w:t>pesos</w:t>
            </w:r>
          </w:p>
        </w:tc>
        <w:tc>
          <w:tcPr>
            <w:tcW w:w="1559" w:type="dxa"/>
            <w:tcBorders>
              <w:top w:val="single" w:sz="4" w:space="0" w:color="000000"/>
              <w:left w:val="single" w:sz="4" w:space="0" w:color="000000"/>
              <w:bottom w:val="single" w:sz="4" w:space="0" w:color="000000"/>
              <w:right w:val="single" w:sz="4" w:space="0" w:color="000000"/>
            </w:tcBorders>
            <w:shd w:val="clear" w:color="auto" w:fill="205968"/>
            <w:tcMar>
              <w:top w:w="0" w:type="dxa"/>
              <w:left w:w="40" w:type="dxa"/>
              <w:bottom w:w="0" w:type="dxa"/>
              <w:right w:w="40" w:type="dxa"/>
            </w:tcMar>
            <w:vAlign w:val="center"/>
          </w:tcPr>
          <w:p w14:paraId="54AFB827" w14:textId="77777777" w:rsidR="008A34AE" w:rsidRDefault="00F35562">
            <w:pPr>
              <w:spacing w:line="240" w:lineRule="auto"/>
              <w:contextualSpacing w:val="0"/>
              <w:jc w:val="center"/>
              <w:rPr>
                <w:b/>
                <w:color w:val="FFFFFF"/>
                <w:sz w:val="20"/>
                <w:szCs w:val="20"/>
              </w:rPr>
            </w:pPr>
            <w:r>
              <w:rPr>
                <w:b/>
                <w:color w:val="FFFFFF"/>
                <w:sz w:val="20"/>
                <w:szCs w:val="20"/>
              </w:rPr>
              <w:t>Ingresos por</w:t>
            </w:r>
            <w:r>
              <w:rPr>
                <w:b/>
                <w:color w:val="FFFFFF"/>
                <w:sz w:val="20"/>
                <w:szCs w:val="20"/>
              </w:rPr>
              <w:br/>
              <w:t>intereses en</w:t>
            </w:r>
            <w:r>
              <w:rPr>
                <w:b/>
                <w:color w:val="FFFFFF"/>
                <w:sz w:val="20"/>
                <w:szCs w:val="20"/>
              </w:rPr>
              <w:br/>
              <w:t>pesos</w:t>
            </w:r>
          </w:p>
        </w:tc>
        <w:tc>
          <w:tcPr>
            <w:tcW w:w="1984" w:type="dxa"/>
            <w:tcBorders>
              <w:top w:val="single" w:sz="4" w:space="0" w:color="000000"/>
              <w:left w:val="single" w:sz="4" w:space="0" w:color="000000"/>
              <w:bottom w:val="single" w:sz="4" w:space="0" w:color="000000"/>
              <w:right w:val="single" w:sz="4" w:space="0" w:color="000000"/>
            </w:tcBorders>
            <w:shd w:val="clear" w:color="auto" w:fill="205968"/>
            <w:tcMar>
              <w:top w:w="0" w:type="dxa"/>
              <w:left w:w="40" w:type="dxa"/>
              <w:bottom w:w="0" w:type="dxa"/>
              <w:right w:w="40" w:type="dxa"/>
            </w:tcMar>
            <w:vAlign w:val="center"/>
          </w:tcPr>
          <w:p w14:paraId="74389A1D" w14:textId="77777777" w:rsidR="008A34AE" w:rsidRDefault="00F35562">
            <w:pPr>
              <w:spacing w:line="240" w:lineRule="auto"/>
              <w:contextualSpacing w:val="0"/>
              <w:jc w:val="center"/>
              <w:rPr>
                <w:b/>
                <w:color w:val="FFFFFF"/>
                <w:sz w:val="20"/>
                <w:szCs w:val="20"/>
              </w:rPr>
            </w:pPr>
            <w:r>
              <w:rPr>
                <w:b/>
                <w:color w:val="FFFFFF"/>
                <w:sz w:val="20"/>
                <w:szCs w:val="20"/>
              </w:rPr>
              <w:t>Suma de valor monetario de donativos ejercidos reportados al SAT al 31/05/2018</w:t>
            </w:r>
          </w:p>
        </w:tc>
        <w:tc>
          <w:tcPr>
            <w:tcW w:w="2630" w:type="dxa"/>
            <w:tcBorders>
              <w:top w:val="single" w:sz="4" w:space="0" w:color="000000"/>
              <w:left w:val="single" w:sz="4" w:space="0" w:color="000000"/>
              <w:bottom w:val="single" w:sz="4" w:space="0" w:color="000000"/>
              <w:right w:val="single" w:sz="4" w:space="0" w:color="000000"/>
            </w:tcBorders>
            <w:shd w:val="clear" w:color="auto" w:fill="205968"/>
            <w:tcMar>
              <w:top w:w="0" w:type="dxa"/>
              <w:left w:w="40" w:type="dxa"/>
              <w:bottom w:w="0" w:type="dxa"/>
              <w:right w:w="40" w:type="dxa"/>
            </w:tcMar>
            <w:vAlign w:val="center"/>
          </w:tcPr>
          <w:p w14:paraId="3A7D4498" w14:textId="77777777" w:rsidR="008A34AE" w:rsidRDefault="00F35562">
            <w:pPr>
              <w:spacing w:line="240" w:lineRule="auto"/>
              <w:contextualSpacing w:val="0"/>
              <w:jc w:val="center"/>
              <w:rPr>
                <w:b/>
                <w:color w:val="FFFFFF"/>
                <w:sz w:val="20"/>
                <w:szCs w:val="20"/>
              </w:rPr>
            </w:pPr>
            <w:r>
              <w:rPr>
                <w:b/>
                <w:color w:val="FFFFFF"/>
                <w:sz w:val="20"/>
                <w:szCs w:val="20"/>
              </w:rPr>
              <w:t>Suma de valor monetario de donativos ejercidos publicados en su página electrónica al 6/09/2018</w:t>
            </w:r>
          </w:p>
        </w:tc>
      </w:tr>
      <w:tr w:rsidR="008A34AE" w14:paraId="1C67F4DD" w14:textId="77777777">
        <w:trPr>
          <w:trHeight w:val="300"/>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205968"/>
            <w:tcMar>
              <w:top w:w="0" w:type="dxa"/>
              <w:left w:w="40" w:type="dxa"/>
              <w:bottom w:w="0" w:type="dxa"/>
              <w:right w:w="40" w:type="dxa"/>
            </w:tcMar>
            <w:vAlign w:val="center"/>
          </w:tcPr>
          <w:p w14:paraId="63D9B91A" w14:textId="77777777" w:rsidR="008A34AE" w:rsidRDefault="00F35562">
            <w:pPr>
              <w:spacing w:line="240" w:lineRule="auto"/>
              <w:contextualSpacing w:val="0"/>
              <w:jc w:val="center"/>
              <w:rPr>
                <w:b/>
                <w:color w:val="FFFFFF"/>
                <w:sz w:val="18"/>
                <w:szCs w:val="18"/>
              </w:rPr>
            </w:pPr>
            <w:r>
              <w:rPr>
                <w:b/>
                <w:color w:val="FFFFFF"/>
                <w:sz w:val="18"/>
                <w:szCs w:val="18"/>
              </w:rPr>
              <w:t>1</w:t>
            </w:r>
          </w:p>
        </w:tc>
        <w:tc>
          <w:tcPr>
            <w:tcW w:w="1626" w:type="dxa"/>
            <w:vMerge w:val="restart"/>
            <w:tcBorders>
              <w:top w:val="single" w:sz="4" w:space="0" w:color="000000"/>
              <w:left w:val="single" w:sz="4" w:space="0" w:color="000000"/>
              <w:bottom w:val="single" w:sz="4" w:space="0" w:color="000000"/>
              <w:right w:val="single" w:sz="4" w:space="0" w:color="000000"/>
            </w:tcBorders>
            <w:shd w:val="clear" w:color="auto" w:fill="31849B"/>
            <w:tcMar>
              <w:top w:w="0" w:type="dxa"/>
              <w:left w:w="40" w:type="dxa"/>
              <w:bottom w:w="0" w:type="dxa"/>
              <w:right w:w="40" w:type="dxa"/>
            </w:tcMar>
            <w:vAlign w:val="center"/>
          </w:tcPr>
          <w:p w14:paraId="329F128E" w14:textId="77777777" w:rsidR="008A34AE" w:rsidRDefault="00F35562">
            <w:pPr>
              <w:spacing w:line="240" w:lineRule="auto"/>
              <w:contextualSpacing w:val="0"/>
              <w:rPr>
                <w:color w:val="FFFFFF"/>
                <w:sz w:val="18"/>
                <w:szCs w:val="18"/>
              </w:rPr>
            </w:pPr>
            <w:r>
              <w:rPr>
                <w:color w:val="FFFFFF"/>
                <w:sz w:val="18"/>
                <w:szCs w:val="18"/>
              </w:rPr>
              <w:t>Cruz Roja Mexicana, I.A.P.</w:t>
            </w:r>
          </w:p>
        </w:tc>
        <w:tc>
          <w:tcPr>
            <w:tcW w:w="992" w:type="dxa"/>
            <w:tcBorders>
              <w:top w:val="single" w:sz="4" w:space="0" w:color="000000"/>
              <w:left w:val="single" w:sz="4" w:space="0" w:color="000000"/>
              <w:bottom w:val="single" w:sz="4" w:space="0" w:color="000000"/>
              <w:right w:val="single" w:sz="4" w:space="0" w:color="000000"/>
            </w:tcBorders>
            <w:shd w:val="clear" w:color="auto" w:fill="93CDDC"/>
            <w:tcMar>
              <w:top w:w="0" w:type="dxa"/>
              <w:left w:w="40" w:type="dxa"/>
              <w:bottom w:w="0" w:type="dxa"/>
              <w:right w:w="40" w:type="dxa"/>
            </w:tcMar>
            <w:vAlign w:val="center"/>
          </w:tcPr>
          <w:p w14:paraId="1B97B1F2" w14:textId="77777777" w:rsidR="008A34AE" w:rsidRDefault="00F35562">
            <w:pPr>
              <w:spacing w:line="240" w:lineRule="auto"/>
              <w:contextualSpacing w:val="0"/>
              <w:jc w:val="center"/>
              <w:rPr>
                <w:color w:val="205968"/>
                <w:sz w:val="18"/>
                <w:szCs w:val="18"/>
              </w:rPr>
            </w:pPr>
            <w:r>
              <w:rPr>
                <w:color w:val="205968"/>
                <w:sz w:val="18"/>
                <w:szCs w:val="18"/>
              </w:rPr>
              <w:t>Efectivo</w:t>
            </w:r>
          </w:p>
        </w:tc>
        <w:tc>
          <w:tcPr>
            <w:tcW w:w="1843" w:type="dxa"/>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25925B05" w14:textId="77777777" w:rsidR="008A34AE" w:rsidRDefault="00F35562">
            <w:pPr>
              <w:spacing w:line="240" w:lineRule="auto"/>
              <w:contextualSpacing w:val="0"/>
              <w:jc w:val="center"/>
              <w:rPr>
                <w:color w:val="205968"/>
                <w:sz w:val="18"/>
                <w:szCs w:val="18"/>
              </w:rPr>
            </w:pPr>
            <w:r>
              <w:rPr>
                <w:color w:val="205968"/>
                <w:sz w:val="18"/>
                <w:szCs w:val="18"/>
              </w:rPr>
              <w:t>$468,262,055.00</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7ABA9AF1" w14:textId="77777777" w:rsidR="008A34AE" w:rsidRDefault="00F35562">
            <w:pPr>
              <w:spacing w:line="240" w:lineRule="auto"/>
              <w:contextualSpacing w:val="0"/>
              <w:rPr>
                <w:color w:val="205968"/>
                <w:sz w:val="18"/>
                <w:szCs w:val="18"/>
              </w:rPr>
            </w:pPr>
            <w:r>
              <w:rPr>
                <w:color w:val="205968"/>
                <w:sz w:val="18"/>
                <w:szCs w:val="18"/>
              </w:rPr>
              <w:t>No proporciona información financiera sobre donativos en su página web</w:t>
            </w:r>
            <w:r>
              <w:rPr>
                <w:color w:val="205968"/>
                <w:sz w:val="18"/>
                <w:szCs w:val="18"/>
                <w:vertAlign w:val="superscript"/>
              </w:rPr>
              <w:footnoteReference w:id="14"/>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63D6FE5E" w14:textId="77777777" w:rsidR="008A34AE" w:rsidRDefault="00F35562">
            <w:pPr>
              <w:spacing w:line="240" w:lineRule="auto"/>
              <w:contextualSpacing w:val="0"/>
              <w:rPr>
                <w:color w:val="205968"/>
                <w:sz w:val="18"/>
                <w:szCs w:val="18"/>
              </w:rPr>
            </w:pPr>
            <w:r>
              <w:rPr>
                <w:color w:val="205968"/>
                <w:sz w:val="18"/>
                <w:szCs w:val="18"/>
              </w:rPr>
              <w:t>No lo ha hecho</w:t>
            </w:r>
            <w:r>
              <w:rPr>
                <w:color w:val="205968"/>
                <w:sz w:val="18"/>
                <w:szCs w:val="18"/>
              </w:rPr>
              <w:br/>
              <w:t>público</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49E94EDD" w14:textId="77777777" w:rsidR="008A34AE" w:rsidRDefault="00F35562">
            <w:pPr>
              <w:spacing w:line="240" w:lineRule="auto"/>
              <w:contextualSpacing w:val="0"/>
              <w:rPr>
                <w:color w:val="205968"/>
                <w:sz w:val="18"/>
                <w:szCs w:val="18"/>
              </w:rPr>
            </w:pPr>
            <w:r>
              <w:rPr>
                <w:color w:val="205968"/>
                <w:sz w:val="18"/>
                <w:szCs w:val="18"/>
              </w:rPr>
              <w:t>No lo ha hecho</w:t>
            </w:r>
            <w:r>
              <w:rPr>
                <w:color w:val="205968"/>
                <w:sz w:val="18"/>
                <w:szCs w:val="18"/>
              </w:rPr>
              <w:br/>
              <w:t>público</w:t>
            </w:r>
          </w:p>
        </w:tc>
        <w:tc>
          <w:tcPr>
            <w:tcW w:w="1984" w:type="dxa"/>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168351A6" w14:textId="77777777" w:rsidR="008A34AE" w:rsidRDefault="00F35562">
            <w:pPr>
              <w:spacing w:line="240" w:lineRule="auto"/>
              <w:contextualSpacing w:val="0"/>
              <w:jc w:val="center"/>
              <w:rPr>
                <w:color w:val="205968"/>
                <w:sz w:val="18"/>
                <w:szCs w:val="18"/>
              </w:rPr>
            </w:pPr>
            <w:r>
              <w:rPr>
                <w:color w:val="205968"/>
                <w:sz w:val="18"/>
                <w:szCs w:val="18"/>
              </w:rPr>
              <w:t>$173,919,224</w:t>
            </w:r>
          </w:p>
        </w:tc>
        <w:tc>
          <w:tcPr>
            <w:tcW w:w="2630" w:type="dxa"/>
            <w:vMerge w:val="restart"/>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46E00D38" w14:textId="77777777" w:rsidR="008A34AE" w:rsidRDefault="00F35562">
            <w:pPr>
              <w:spacing w:line="240" w:lineRule="auto"/>
              <w:contextualSpacing w:val="0"/>
              <w:rPr>
                <w:color w:val="205968"/>
                <w:sz w:val="18"/>
                <w:szCs w:val="18"/>
              </w:rPr>
            </w:pPr>
            <w:r>
              <w:rPr>
                <w:color w:val="205968"/>
                <w:sz w:val="18"/>
                <w:szCs w:val="18"/>
              </w:rPr>
              <w:t>No proporciona información financiera sobre donativos en su página web</w:t>
            </w:r>
          </w:p>
        </w:tc>
      </w:tr>
      <w:tr w:rsidR="008A34AE" w14:paraId="509982EC" w14:textId="77777777">
        <w:trPr>
          <w:trHeight w:val="580"/>
        </w:trPr>
        <w:tc>
          <w:tcPr>
            <w:tcW w:w="450" w:type="dxa"/>
            <w:vMerge/>
            <w:tcBorders>
              <w:top w:val="single" w:sz="4" w:space="0" w:color="000000"/>
              <w:left w:val="single" w:sz="4" w:space="0" w:color="000000"/>
              <w:bottom w:val="single" w:sz="4" w:space="0" w:color="000000"/>
              <w:right w:val="single" w:sz="4" w:space="0" w:color="000000"/>
            </w:tcBorders>
            <w:shd w:val="clear" w:color="auto" w:fill="205968"/>
            <w:tcMar>
              <w:top w:w="0" w:type="dxa"/>
              <w:left w:w="40" w:type="dxa"/>
              <w:bottom w:w="0" w:type="dxa"/>
              <w:right w:w="40" w:type="dxa"/>
            </w:tcMar>
            <w:vAlign w:val="center"/>
          </w:tcPr>
          <w:p w14:paraId="5B297BC1" w14:textId="77777777" w:rsidR="008A34AE" w:rsidRDefault="008A34AE">
            <w:pPr>
              <w:widowControl w:val="0"/>
              <w:pBdr>
                <w:top w:val="nil"/>
                <w:left w:val="nil"/>
                <w:bottom w:val="nil"/>
                <w:right w:val="nil"/>
                <w:between w:val="nil"/>
              </w:pBdr>
              <w:contextualSpacing w:val="0"/>
              <w:rPr>
                <w:color w:val="205968"/>
                <w:sz w:val="18"/>
                <w:szCs w:val="18"/>
              </w:rPr>
            </w:pPr>
          </w:p>
        </w:tc>
        <w:tc>
          <w:tcPr>
            <w:tcW w:w="1626" w:type="dxa"/>
            <w:vMerge/>
            <w:tcBorders>
              <w:top w:val="single" w:sz="4" w:space="0" w:color="000000"/>
              <w:left w:val="single" w:sz="4" w:space="0" w:color="000000"/>
              <w:bottom w:val="single" w:sz="4" w:space="0" w:color="000000"/>
              <w:right w:val="single" w:sz="4" w:space="0" w:color="000000"/>
            </w:tcBorders>
            <w:shd w:val="clear" w:color="auto" w:fill="31849B"/>
            <w:tcMar>
              <w:top w:w="0" w:type="dxa"/>
              <w:left w:w="40" w:type="dxa"/>
              <w:bottom w:w="0" w:type="dxa"/>
              <w:right w:w="40" w:type="dxa"/>
            </w:tcMar>
            <w:vAlign w:val="center"/>
          </w:tcPr>
          <w:p w14:paraId="617D812A" w14:textId="77777777" w:rsidR="008A34AE" w:rsidRDefault="008A34AE">
            <w:pPr>
              <w:widowControl w:val="0"/>
              <w:pBdr>
                <w:top w:val="nil"/>
                <w:left w:val="nil"/>
                <w:bottom w:val="nil"/>
                <w:right w:val="nil"/>
                <w:between w:val="nil"/>
              </w:pBdr>
              <w:contextualSpacing w:val="0"/>
              <w:rPr>
                <w:color w:val="205968"/>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93CDDC"/>
            <w:tcMar>
              <w:top w:w="0" w:type="dxa"/>
              <w:left w:w="40" w:type="dxa"/>
              <w:bottom w:w="0" w:type="dxa"/>
              <w:right w:w="40" w:type="dxa"/>
            </w:tcMar>
            <w:vAlign w:val="center"/>
          </w:tcPr>
          <w:p w14:paraId="26D1113C" w14:textId="77777777" w:rsidR="008A34AE" w:rsidRDefault="00F35562">
            <w:pPr>
              <w:spacing w:line="240" w:lineRule="auto"/>
              <w:contextualSpacing w:val="0"/>
              <w:jc w:val="center"/>
              <w:rPr>
                <w:color w:val="205968"/>
                <w:sz w:val="18"/>
                <w:szCs w:val="18"/>
              </w:rPr>
            </w:pPr>
            <w:r>
              <w:rPr>
                <w:color w:val="205968"/>
                <w:sz w:val="18"/>
                <w:szCs w:val="18"/>
              </w:rPr>
              <w:t>Especie</w:t>
            </w:r>
          </w:p>
        </w:tc>
        <w:tc>
          <w:tcPr>
            <w:tcW w:w="1843" w:type="dxa"/>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3D8EF0A1" w14:textId="77777777" w:rsidR="008A34AE" w:rsidRDefault="00F35562">
            <w:pPr>
              <w:spacing w:line="240" w:lineRule="auto"/>
              <w:contextualSpacing w:val="0"/>
              <w:jc w:val="center"/>
              <w:rPr>
                <w:color w:val="205968"/>
                <w:sz w:val="18"/>
                <w:szCs w:val="18"/>
              </w:rPr>
            </w:pPr>
            <w:r>
              <w:rPr>
                <w:color w:val="205968"/>
                <w:sz w:val="18"/>
                <w:szCs w:val="18"/>
              </w:rPr>
              <w:t>$90,045,378.00</w:t>
            </w:r>
          </w:p>
        </w:tc>
        <w:tc>
          <w:tcPr>
            <w:tcW w:w="2410" w:type="dxa"/>
            <w:vMerge/>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2FB2356B" w14:textId="77777777" w:rsidR="008A34AE" w:rsidRDefault="008A34AE">
            <w:pPr>
              <w:widowControl w:val="0"/>
              <w:pBdr>
                <w:top w:val="nil"/>
                <w:left w:val="nil"/>
                <w:bottom w:val="nil"/>
                <w:right w:val="nil"/>
                <w:between w:val="nil"/>
              </w:pBdr>
              <w:contextualSpacing w:val="0"/>
              <w:rPr>
                <w:color w:val="205968"/>
                <w:sz w:val="18"/>
                <w:szCs w:val="18"/>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62B8170C" w14:textId="77777777" w:rsidR="008A34AE" w:rsidRDefault="008A34AE">
            <w:pPr>
              <w:widowControl w:val="0"/>
              <w:pBdr>
                <w:top w:val="nil"/>
                <w:left w:val="nil"/>
                <w:bottom w:val="nil"/>
                <w:right w:val="nil"/>
                <w:between w:val="nil"/>
              </w:pBdr>
              <w:contextualSpacing w:val="0"/>
              <w:rPr>
                <w:color w:val="205968"/>
                <w:sz w:val="18"/>
                <w:szCs w:val="1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4B5904A5" w14:textId="77777777" w:rsidR="008A34AE" w:rsidRDefault="008A34AE">
            <w:pPr>
              <w:widowControl w:val="0"/>
              <w:pBdr>
                <w:top w:val="nil"/>
                <w:left w:val="nil"/>
                <w:bottom w:val="nil"/>
                <w:right w:val="nil"/>
                <w:between w:val="nil"/>
              </w:pBdr>
              <w:contextualSpacing w:val="0"/>
              <w:rPr>
                <w:color w:val="205968"/>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31140D40" w14:textId="77777777" w:rsidR="008A34AE" w:rsidRDefault="00F35562">
            <w:pPr>
              <w:spacing w:line="240" w:lineRule="auto"/>
              <w:contextualSpacing w:val="0"/>
              <w:jc w:val="center"/>
              <w:rPr>
                <w:color w:val="205968"/>
                <w:sz w:val="18"/>
                <w:szCs w:val="18"/>
              </w:rPr>
            </w:pPr>
            <w:r>
              <w:rPr>
                <w:color w:val="205968"/>
                <w:sz w:val="18"/>
                <w:szCs w:val="18"/>
              </w:rPr>
              <w:t>$76,255,194</w:t>
            </w:r>
          </w:p>
        </w:tc>
        <w:tc>
          <w:tcPr>
            <w:tcW w:w="2630" w:type="dxa"/>
            <w:vMerge/>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694D2BE3" w14:textId="77777777" w:rsidR="008A34AE" w:rsidRDefault="008A34AE">
            <w:pPr>
              <w:widowControl w:val="0"/>
              <w:pBdr>
                <w:top w:val="nil"/>
                <w:left w:val="nil"/>
                <w:bottom w:val="nil"/>
                <w:right w:val="nil"/>
                <w:between w:val="nil"/>
              </w:pBdr>
              <w:contextualSpacing w:val="0"/>
              <w:rPr>
                <w:color w:val="205968"/>
                <w:sz w:val="18"/>
                <w:szCs w:val="18"/>
              </w:rPr>
            </w:pPr>
          </w:p>
        </w:tc>
      </w:tr>
      <w:tr w:rsidR="008A34AE" w14:paraId="41E98D08" w14:textId="77777777">
        <w:trPr>
          <w:trHeight w:val="300"/>
        </w:trPr>
        <w:tc>
          <w:tcPr>
            <w:tcW w:w="450" w:type="dxa"/>
            <w:vMerge/>
            <w:tcBorders>
              <w:top w:val="single" w:sz="4" w:space="0" w:color="000000"/>
              <w:left w:val="single" w:sz="4" w:space="0" w:color="000000"/>
              <w:bottom w:val="single" w:sz="4" w:space="0" w:color="000000"/>
              <w:right w:val="single" w:sz="4" w:space="0" w:color="000000"/>
            </w:tcBorders>
            <w:shd w:val="clear" w:color="auto" w:fill="205968"/>
            <w:tcMar>
              <w:top w:w="0" w:type="dxa"/>
              <w:left w:w="40" w:type="dxa"/>
              <w:bottom w:w="0" w:type="dxa"/>
              <w:right w:w="40" w:type="dxa"/>
            </w:tcMar>
            <w:vAlign w:val="center"/>
          </w:tcPr>
          <w:p w14:paraId="2C40814F" w14:textId="77777777" w:rsidR="008A34AE" w:rsidRDefault="008A34AE">
            <w:pPr>
              <w:widowControl w:val="0"/>
              <w:pBdr>
                <w:top w:val="nil"/>
                <w:left w:val="nil"/>
                <w:bottom w:val="nil"/>
                <w:right w:val="nil"/>
                <w:between w:val="nil"/>
              </w:pBdr>
              <w:contextualSpacing w:val="0"/>
              <w:rPr>
                <w:color w:val="205968"/>
                <w:sz w:val="18"/>
                <w:szCs w:val="18"/>
              </w:rPr>
            </w:pPr>
          </w:p>
        </w:tc>
        <w:tc>
          <w:tcPr>
            <w:tcW w:w="1626" w:type="dxa"/>
            <w:tcBorders>
              <w:top w:val="single" w:sz="4" w:space="0" w:color="000000"/>
              <w:left w:val="single" w:sz="4" w:space="0" w:color="000000"/>
              <w:bottom w:val="single" w:sz="4" w:space="0" w:color="000000"/>
              <w:right w:val="single" w:sz="4" w:space="0" w:color="000000"/>
            </w:tcBorders>
            <w:shd w:val="clear" w:color="auto" w:fill="31849B"/>
            <w:tcMar>
              <w:top w:w="0" w:type="dxa"/>
              <w:left w:w="40" w:type="dxa"/>
              <w:bottom w:w="0" w:type="dxa"/>
              <w:right w:w="40" w:type="dxa"/>
            </w:tcMar>
            <w:vAlign w:val="center"/>
          </w:tcPr>
          <w:p w14:paraId="41AD8AEA" w14:textId="77777777" w:rsidR="008A34AE" w:rsidRDefault="00F35562">
            <w:pPr>
              <w:spacing w:line="240" w:lineRule="auto"/>
              <w:contextualSpacing w:val="0"/>
              <w:rPr>
                <w:b/>
                <w:color w:val="FFFFFF"/>
                <w:sz w:val="18"/>
                <w:szCs w:val="18"/>
              </w:rPr>
            </w:pPr>
            <w:r>
              <w:rPr>
                <w:b/>
                <w:color w:val="FFFFFF"/>
                <w:sz w:val="18"/>
                <w:szCs w:val="18"/>
              </w:rPr>
              <w:t>Total, Cruz Roja Mexicana, I.A.P.</w:t>
            </w:r>
          </w:p>
        </w:tc>
        <w:tc>
          <w:tcPr>
            <w:tcW w:w="992" w:type="dxa"/>
            <w:tcBorders>
              <w:top w:val="single" w:sz="4" w:space="0" w:color="000000"/>
              <w:left w:val="single" w:sz="4" w:space="0" w:color="000000"/>
              <w:bottom w:val="single" w:sz="4" w:space="0" w:color="000000"/>
              <w:right w:val="single" w:sz="4" w:space="0" w:color="000000"/>
            </w:tcBorders>
            <w:shd w:val="clear" w:color="auto" w:fill="93CDDC"/>
            <w:tcMar>
              <w:top w:w="0" w:type="dxa"/>
              <w:left w:w="40" w:type="dxa"/>
              <w:bottom w:w="0" w:type="dxa"/>
              <w:right w:w="40" w:type="dxa"/>
            </w:tcMar>
            <w:vAlign w:val="center"/>
          </w:tcPr>
          <w:p w14:paraId="39B71D55" w14:textId="77777777" w:rsidR="008A34AE" w:rsidRDefault="008A34AE">
            <w:pPr>
              <w:spacing w:line="240" w:lineRule="auto"/>
              <w:contextualSpacing w:val="0"/>
              <w:jc w:val="center"/>
              <w:rPr>
                <w:color w:val="205968"/>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40ED160D" w14:textId="77777777" w:rsidR="008A34AE" w:rsidRDefault="00F35562">
            <w:pPr>
              <w:spacing w:line="240" w:lineRule="auto"/>
              <w:contextualSpacing w:val="0"/>
              <w:jc w:val="center"/>
              <w:rPr>
                <w:color w:val="205968"/>
                <w:sz w:val="18"/>
                <w:szCs w:val="18"/>
              </w:rPr>
            </w:pPr>
            <w:r>
              <w:rPr>
                <w:color w:val="205968"/>
                <w:sz w:val="18"/>
                <w:szCs w:val="18"/>
              </w:rPr>
              <w:t>$558,307,433.00</w:t>
            </w:r>
          </w:p>
        </w:tc>
        <w:tc>
          <w:tcPr>
            <w:tcW w:w="2410" w:type="dxa"/>
            <w:vMerge/>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6273D832" w14:textId="77777777" w:rsidR="008A34AE" w:rsidRDefault="008A34AE">
            <w:pPr>
              <w:widowControl w:val="0"/>
              <w:pBdr>
                <w:top w:val="nil"/>
                <w:left w:val="nil"/>
                <w:bottom w:val="nil"/>
                <w:right w:val="nil"/>
                <w:between w:val="nil"/>
              </w:pBdr>
              <w:contextualSpacing w:val="0"/>
              <w:rPr>
                <w:color w:val="205968"/>
                <w:sz w:val="18"/>
                <w:szCs w:val="18"/>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1139F073" w14:textId="77777777" w:rsidR="008A34AE" w:rsidRDefault="008A34AE">
            <w:pPr>
              <w:widowControl w:val="0"/>
              <w:pBdr>
                <w:top w:val="nil"/>
                <w:left w:val="nil"/>
                <w:bottom w:val="nil"/>
                <w:right w:val="nil"/>
                <w:between w:val="nil"/>
              </w:pBdr>
              <w:contextualSpacing w:val="0"/>
              <w:rPr>
                <w:color w:val="205968"/>
                <w:sz w:val="18"/>
                <w:szCs w:val="1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76CA3009" w14:textId="77777777" w:rsidR="008A34AE" w:rsidRDefault="008A34AE">
            <w:pPr>
              <w:widowControl w:val="0"/>
              <w:pBdr>
                <w:top w:val="nil"/>
                <w:left w:val="nil"/>
                <w:bottom w:val="nil"/>
                <w:right w:val="nil"/>
                <w:between w:val="nil"/>
              </w:pBdr>
              <w:contextualSpacing w:val="0"/>
              <w:rPr>
                <w:color w:val="205968"/>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45A1B551" w14:textId="77777777" w:rsidR="008A34AE" w:rsidRDefault="00F35562">
            <w:pPr>
              <w:spacing w:line="240" w:lineRule="auto"/>
              <w:contextualSpacing w:val="0"/>
              <w:jc w:val="center"/>
              <w:rPr>
                <w:color w:val="205968"/>
                <w:sz w:val="18"/>
                <w:szCs w:val="18"/>
              </w:rPr>
            </w:pPr>
            <w:r>
              <w:rPr>
                <w:color w:val="205968"/>
                <w:sz w:val="18"/>
                <w:szCs w:val="18"/>
              </w:rPr>
              <w:t>$250,174,418</w:t>
            </w:r>
          </w:p>
        </w:tc>
        <w:tc>
          <w:tcPr>
            <w:tcW w:w="2630" w:type="dxa"/>
            <w:vMerge/>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67B5BB91" w14:textId="77777777" w:rsidR="008A34AE" w:rsidRDefault="008A34AE">
            <w:pPr>
              <w:widowControl w:val="0"/>
              <w:pBdr>
                <w:top w:val="nil"/>
                <w:left w:val="nil"/>
                <w:bottom w:val="nil"/>
                <w:right w:val="nil"/>
                <w:between w:val="nil"/>
              </w:pBdr>
              <w:contextualSpacing w:val="0"/>
              <w:rPr>
                <w:color w:val="205968"/>
                <w:sz w:val="18"/>
                <w:szCs w:val="18"/>
              </w:rPr>
            </w:pPr>
          </w:p>
        </w:tc>
      </w:tr>
      <w:tr w:rsidR="008A34AE" w14:paraId="3B054CA7" w14:textId="77777777">
        <w:trPr>
          <w:trHeight w:val="300"/>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205968"/>
            <w:tcMar>
              <w:top w:w="0" w:type="dxa"/>
              <w:left w:w="40" w:type="dxa"/>
              <w:bottom w:w="0" w:type="dxa"/>
              <w:right w:w="40" w:type="dxa"/>
            </w:tcMar>
            <w:vAlign w:val="center"/>
          </w:tcPr>
          <w:p w14:paraId="37D44034" w14:textId="77777777" w:rsidR="008A34AE" w:rsidRDefault="00F35562">
            <w:pPr>
              <w:spacing w:line="240" w:lineRule="auto"/>
              <w:contextualSpacing w:val="0"/>
              <w:jc w:val="center"/>
              <w:rPr>
                <w:b/>
                <w:color w:val="FFFFFF"/>
                <w:sz w:val="18"/>
                <w:szCs w:val="18"/>
              </w:rPr>
            </w:pPr>
            <w:r>
              <w:rPr>
                <w:b/>
                <w:color w:val="FFFFFF"/>
                <w:sz w:val="18"/>
                <w:szCs w:val="18"/>
              </w:rPr>
              <w:t>2</w:t>
            </w:r>
          </w:p>
        </w:tc>
        <w:tc>
          <w:tcPr>
            <w:tcW w:w="1626" w:type="dxa"/>
            <w:vMerge w:val="restart"/>
            <w:tcBorders>
              <w:top w:val="single" w:sz="4" w:space="0" w:color="000000"/>
              <w:left w:val="single" w:sz="4" w:space="0" w:color="000000"/>
              <w:bottom w:val="single" w:sz="4" w:space="0" w:color="000000"/>
              <w:right w:val="single" w:sz="4" w:space="0" w:color="000000"/>
            </w:tcBorders>
            <w:shd w:val="clear" w:color="auto" w:fill="31849B"/>
            <w:tcMar>
              <w:top w:w="0" w:type="dxa"/>
              <w:left w:w="40" w:type="dxa"/>
              <w:bottom w:w="0" w:type="dxa"/>
              <w:right w:w="40" w:type="dxa"/>
            </w:tcMar>
            <w:vAlign w:val="center"/>
          </w:tcPr>
          <w:p w14:paraId="64AFCBA0" w14:textId="77777777" w:rsidR="008A34AE" w:rsidRDefault="00F35562">
            <w:pPr>
              <w:spacing w:line="240" w:lineRule="auto"/>
              <w:contextualSpacing w:val="0"/>
              <w:rPr>
                <w:color w:val="FFFFFF"/>
                <w:sz w:val="18"/>
                <w:szCs w:val="18"/>
              </w:rPr>
            </w:pPr>
            <w:r>
              <w:rPr>
                <w:color w:val="FFFFFF"/>
                <w:sz w:val="18"/>
                <w:szCs w:val="18"/>
              </w:rPr>
              <w:t>Fundación Carlos Slim, A.C.</w:t>
            </w:r>
          </w:p>
        </w:tc>
        <w:tc>
          <w:tcPr>
            <w:tcW w:w="992" w:type="dxa"/>
            <w:tcBorders>
              <w:top w:val="single" w:sz="4" w:space="0" w:color="000000"/>
              <w:left w:val="single" w:sz="4" w:space="0" w:color="000000"/>
              <w:bottom w:val="single" w:sz="4" w:space="0" w:color="000000"/>
              <w:right w:val="single" w:sz="4" w:space="0" w:color="000000"/>
            </w:tcBorders>
            <w:shd w:val="clear" w:color="auto" w:fill="93CDDC"/>
            <w:tcMar>
              <w:top w:w="0" w:type="dxa"/>
              <w:left w:w="40" w:type="dxa"/>
              <w:bottom w:w="0" w:type="dxa"/>
              <w:right w:w="40" w:type="dxa"/>
            </w:tcMar>
            <w:vAlign w:val="center"/>
          </w:tcPr>
          <w:p w14:paraId="4723B6EE" w14:textId="77777777" w:rsidR="008A34AE" w:rsidRDefault="00F35562">
            <w:pPr>
              <w:spacing w:line="240" w:lineRule="auto"/>
              <w:contextualSpacing w:val="0"/>
              <w:jc w:val="center"/>
              <w:rPr>
                <w:color w:val="205968"/>
                <w:sz w:val="18"/>
                <w:szCs w:val="18"/>
              </w:rPr>
            </w:pPr>
            <w:r>
              <w:rPr>
                <w:color w:val="205968"/>
                <w:sz w:val="18"/>
                <w:szCs w:val="18"/>
              </w:rPr>
              <w:t>Efectivo</w:t>
            </w:r>
          </w:p>
        </w:tc>
        <w:tc>
          <w:tcPr>
            <w:tcW w:w="1843" w:type="dxa"/>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402DA154" w14:textId="77777777" w:rsidR="008A34AE" w:rsidRDefault="00F35562">
            <w:pPr>
              <w:spacing w:line="240" w:lineRule="auto"/>
              <w:contextualSpacing w:val="0"/>
              <w:jc w:val="center"/>
              <w:rPr>
                <w:color w:val="205968"/>
                <w:sz w:val="18"/>
                <w:szCs w:val="18"/>
              </w:rPr>
            </w:pPr>
            <w:r>
              <w:rPr>
                <w:color w:val="205968"/>
                <w:sz w:val="18"/>
                <w:szCs w:val="18"/>
              </w:rPr>
              <w:t>$412,288,485.35</w:t>
            </w:r>
          </w:p>
        </w:tc>
        <w:tc>
          <w:tcPr>
            <w:tcW w:w="2410" w:type="dxa"/>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3192D754" w14:textId="77777777" w:rsidR="008A34AE" w:rsidRDefault="00F35562">
            <w:pPr>
              <w:spacing w:line="240" w:lineRule="auto"/>
              <w:contextualSpacing w:val="0"/>
              <w:jc w:val="center"/>
              <w:rPr>
                <w:color w:val="205968"/>
                <w:sz w:val="18"/>
                <w:szCs w:val="18"/>
              </w:rPr>
            </w:pPr>
            <w:r>
              <w:rPr>
                <w:color w:val="205968"/>
                <w:sz w:val="18"/>
                <w:szCs w:val="18"/>
              </w:rPr>
              <w:t>$412,361,535.24</w:t>
            </w:r>
            <w:r>
              <w:rPr>
                <w:color w:val="205968"/>
                <w:sz w:val="18"/>
                <w:szCs w:val="18"/>
                <w:vertAlign w:val="superscript"/>
              </w:rPr>
              <w:footnoteReference w:id="15"/>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695B73C0" w14:textId="77777777" w:rsidR="008A34AE" w:rsidRDefault="00F35562">
            <w:pPr>
              <w:spacing w:line="240" w:lineRule="auto"/>
              <w:contextualSpacing w:val="0"/>
              <w:jc w:val="center"/>
              <w:rPr>
                <w:color w:val="205968"/>
                <w:sz w:val="18"/>
                <w:szCs w:val="18"/>
              </w:rPr>
            </w:pPr>
            <w:r>
              <w:rPr>
                <w:color w:val="205968"/>
                <w:sz w:val="18"/>
                <w:szCs w:val="18"/>
              </w:rPr>
              <w:t>$2,061,807,676.20</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74747C77" w14:textId="77777777" w:rsidR="008A34AE" w:rsidRDefault="00F35562">
            <w:pPr>
              <w:spacing w:line="240" w:lineRule="auto"/>
              <w:contextualSpacing w:val="0"/>
              <w:jc w:val="center"/>
              <w:rPr>
                <w:color w:val="205968"/>
                <w:sz w:val="18"/>
                <w:szCs w:val="18"/>
              </w:rPr>
            </w:pPr>
            <w:r>
              <w:rPr>
                <w:color w:val="205968"/>
                <w:sz w:val="18"/>
                <w:szCs w:val="18"/>
              </w:rPr>
              <w:t>$154,413,155.39</w:t>
            </w:r>
          </w:p>
        </w:tc>
        <w:tc>
          <w:tcPr>
            <w:tcW w:w="1984" w:type="dxa"/>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33D7DAC4" w14:textId="77777777" w:rsidR="008A34AE" w:rsidRDefault="00F35562">
            <w:pPr>
              <w:spacing w:line="240" w:lineRule="auto"/>
              <w:contextualSpacing w:val="0"/>
              <w:jc w:val="center"/>
              <w:rPr>
                <w:color w:val="205968"/>
                <w:sz w:val="18"/>
                <w:szCs w:val="18"/>
              </w:rPr>
            </w:pPr>
            <w:r>
              <w:rPr>
                <w:color w:val="205968"/>
                <w:sz w:val="18"/>
                <w:szCs w:val="18"/>
              </w:rPr>
              <w:t>$23,044,934.78</w:t>
            </w:r>
          </w:p>
          <w:p w14:paraId="7AF05CA7" w14:textId="77777777" w:rsidR="008A34AE" w:rsidRDefault="008A34AE">
            <w:pPr>
              <w:spacing w:line="240" w:lineRule="auto"/>
              <w:contextualSpacing w:val="0"/>
              <w:jc w:val="center"/>
              <w:rPr>
                <w:color w:val="205968"/>
                <w:sz w:val="18"/>
                <w:szCs w:val="18"/>
              </w:rPr>
            </w:pPr>
          </w:p>
        </w:tc>
        <w:tc>
          <w:tcPr>
            <w:tcW w:w="2630" w:type="dxa"/>
            <w:vMerge w:val="restart"/>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721F6F7F" w14:textId="77777777" w:rsidR="008A34AE" w:rsidRDefault="00F35562">
            <w:pPr>
              <w:spacing w:line="240" w:lineRule="auto"/>
              <w:contextualSpacing w:val="0"/>
              <w:jc w:val="center"/>
              <w:rPr>
                <w:color w:val="205968"/>
                <w:sz w:val="18"/>
                <w:szCs w:val="18"/>
              </w:rPr>
            </w:pPr>
            <w:r>
              <w:rPr>
                <w:color w:val="205968"/>
                <w:sz w:val="18"/>
                <w:szCs w:val="18"/>
              </w:rPr>
              <w:t>$184,982,477.22</w:t>
            </w:r>
          </w:p>
        </w:tc>
      </w:tr>
      <w:tr w:rsidR="008A34AE" w14:paraId="34BCFDDE" w14:textId="77777777">
        <w:trPr>
          <w:trHeight w:val="300"/>
        </w:trPr>
        <w:tc>
          <w:tcPr>
            <w:tcW w:w="450" w:type="dxa"/>
            <w:vMerge/>
            <w:tcBorders>
              <w:top w:val="single" w:sz="4" w:space="0" w:color="000000"/>
              <w:left w:val="single" w:sz="4" w:space="0" w:color="000000"/>
              <w:bottom w:val="single" w:sz="4" w:space="0" w:color="000000"/>
              <w:right w:val="single" w:sz="4" w:space="0" w:color="000000"/>
            </w:tcBorders>
            <w:shd w:val="clear" w:color="auto" w:fill="205968"/>
            <w:tcMar>
              <w:top w:w="0" w:type="dxa"/>
              <w:left w:w="40" w:type="dxa"/>
              <w:bottom w:w="0" w:type="dxa"/>
              <w:right w:w="40" w:type="dxa"/>
            </w:tcMar>
            <w:vAlign w:val="center"/>
          </w:tcPr>
          <w:p w14:paraId="555A83B3" w14:textId="77777777" w:rsidR="008A34AE" w:rsidRDefault="008A34AE">
            <w:pPr>
              <w:widowControl w:val="0"/>
              <w:pBdr>
                <w:top w:val="nil"/>
                <w:left w:val="nil"/>
                <w:bottom w:val="nil"/>
                <w:right w:val="nil"/>
                <w:between w:val="nil"/>
              </w:pBdr>
              <w:contextualSpacing w:val="0"/>
              <w:rPr>
                <w:color w:val="205968"/>
                <w:sz w:val="18"/>
                <w:szCs w:val="18"/>
              </w:rPr>
            </w:pPr>
          </w:p>
        </w:tc>
        <w:tc>
          <w:tcPr>
            <w:tcW w:w="1626" w:type="dxa"/>
            <w:vMerge/>
            <w:tcBorders>
              <w:top w:val="single" w:sz="4" w:space="0" w:color="000000"/>
              <w:left w:val="single" w:sz="4" w:space="0" w:color="000000"/>
              <w:bottom w:val="single" w:sz="4" w:space="0" w:color="000000"/>
              <w:right w:val="single" w:sz="4" w:space="0" w:color="000000"/>
            </w:tcBorders>
            <w:shd w:val="clear" w:color="auto" w:fill="31849B"/>
            <w:tcMar>
              <w:top w:w="0" w:type="dxa"/>
              <w:left w:w="40" w:type="dxa"/>
              <w:bottom w:w="0" w:type="dxa"/>
              <w:right w:w="40" w:type="dxa"/>
            </w:tcMar>
            <w:vAlign w:val="center"/>
          </w:tcPr>
          <w:p w14:paraId="0C7B4C7D" w14:textId="77777777" w:rsidR="008A34AE" w:rsidRDefault="008A34AE">
            <w:pPr>
              <w:widowControl w:val="0"/>
              <w:pBdr>
                <w:top w:val="nil"/>
                <w:left w:val="nil"/>
                <w:bottom w:val="nil"/>
                <w:right w:val="nil"/>
                <w:between w:val="nil"/>
              </w:pBdr>
              <w:contextualSpacing w:val="0"/>
              <w:rPr>
                <w:color w:val="205968"/>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93CDDC"/>
            <w:tcMar>
              <w:top w:w="0" w:type="dxa"/>
              <w:left w:w="40" w:type="dxa"/>
              <w:bottom w:w="0" w:type="dxa"/>
              <w:right w:w="40" w:type="dxa"/>
            </w:tcMar>
            <w:vAlign w:val="center"/>
          </w:tcPr>
          <w:p w14:paraId="7131FE72" w14:textId="77777777" w:rsidR="008A34AE" w:rsidRDefault="00F35562">
            <w:pPr>
              <w:spacing w:line="240" w:lineRule="auto"/>
              <w:contextualSpacing w:val="0"/>
              <w:jc w:val="center"/>
              <w:rPr>
                <w:color w:val="205968"/>
                <w:sz w:val="18"/>
                <w:szCs w:val="18"/>
              </w:rPr>
            </w:pPr>
            <w:r>
              <w:rPr>
                <w:color w:val="205968"/>
                <w:sz w:val="18"/>
                <w:szCs w:val="18"/>
              </w:rPr>
              <w:t>Especie</w:t>
            </w:r>
          </w:p>
        </w:tc>
        <w:tc>
          <w:tcPr>
            <w:tcW w:w="1843" w:type="dxa"/>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25FB4D9B" w14:textId="77777777" w:rsidR="008A34AE" w:rsidRDefault="008A34AE">
            <w:pPr>
              <w:spacing w:line="240" w:lineRule="auto"/>
              <w:contextualSpacing w:val="0"/>
              <w:jc w:val="center"/>
              <w:rPr>
                <w:color w:val="205968"/>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34DD0641" w14:textId="77777777" w:rsidR="008A34AE" w:rsidRDefault="008A34AE">
            <w:pPr>
              <w:spacing w:line="240" w:lineRule="auto"/>
              <w:contextualSpacing w:val="0"/>
              <w:jc w:val="center"/>
              <w:rPr>
                <w:color w:val="205968"/>
                <w:sz w:val="18"/>
                <w:szCs w:val="18"/>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1E45C860" w14:textId="77777777" w:rsidR="008A34AE" w:rsidRDefault="008A34AE">
            <w:pPr>
              <w:widowControl w:val="0"/>
              <w:pBdr>
                <w:top w:val="nil"/>
                <w:left w:val="nil"/>
                <w:bottom w:val="nil"/>
                <w:right w:val="nil"/>
                <w:between w:val="nil"/>
              </w:pBdr>
              <w:contextualSpacing w:val="0"/>
              <w:rPr>
                <w:color w:val="205968"/>
                <w:sz w:val="18"/>
                <w:szCs w:val="1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7624DFC4" w14:textId="77777777" w:rsidR="008A34AE" w:rsidRDefault="008A34AE">
            <w:pPr>
              <w:widowControl w:val="0"/>
              <w:pBdr>
                <w:top w:val="nil"/>
                <w:left w:val="nil"/>
                <w:bottom w:val="nil"/>
                <w:right w:val="nil"/>
                <w:between w:val="nil"/>
              </w:pBdr>
              <w:contextualSpacing w:val="0"/>
              <w:rPr>
                <w:color w:val="205968"/>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7FA95AAF" w14:textId="77777777" w:rsidR="008A34AE" w:rsidRDefault="00F35562">
            <w:pPr>
              <w:spacing w:line="240" w:lineRule="auto"/>
              <w:contextualSpacing w:val="0"/>
              <w:jc w:val="center"/>
              <w:rPr>
                <w:color w:val="205968"/>
                <w:sz w:val="18"/>
                <w:szCs w:val="18"/>
              </w:rPr>
            </w:pPr>
            <w:r>
              <w:rPr>
                <w:color w:val="205968"/>
                <w:sz w:val="18"/>
                <w:szCs w:val="18"/>
              </w:rPr>
              <w:t>$4,650,172</w:t>
            </w:r>
          </w:p>
        </w:tc>
        <w:tc>
          <w:tcPr>
            <w:tcW w:w="2630" w:type="dxa"/>
            <w:vMerge/>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1F08EEC7" w14:textId="77777777" w:rsidR="008A34AE" w:rsidRDefault="008A34AE">
            <w:pPr>
              <w:widowControl w:val="0"/>
              <w:pBdr>
                <w:top w:val="nil"/>
                <w:left w:val="nil"/>
                <w:bottom w:val="nil"/>
                <w:right w:val="nil"/>
                <w:between w:val="nil"/>
              </w:pBdr>
              <w:contextualSpacing w:val="0"/>
              <w:rPr>
                <w:color w:val="205968"/>
                <w:sz w:val="18"/>
                <w:szCs w:val="18"/>
              </w:rPr>
            </w:pPr>
          </w:p>
        </w:tc>
      </w:tr>
      <w:tr w:rsidR="008A34AE" w14:paraId="7AB849CE" w14:textId="77777777">
        <w:trPr>
          <w:trHeight w:val="300"/>
        </w:trPr>
        <w:tc>
          <w:tcPr>
            <w:tcW w:w="450" w:type="dxa"/>
            <w:vMerge/>
            <w:tcBorders>
              <w:top w:val="single" w:sz="4" w:space="0" w:color="000000"/>
              <w:left w:val="single" w:sz="4" w:space="0" w:color="000000"/>
              <w:bottom w:val="single" w:sz="4" w:space="0" w:color="000000"/>
              <w:right w:val="single" w:sz="4" w:space="0" w:color="000000"/>
            </w:tcBorders>
            <w:shd w:val="clear" w:color="auto" w:fill="205968"/>
            <w:tcMar>
              <w:top w:w="0" w:type="dxa"/>
              <w:left w:w="40" w:type="dxa"/>
              <w:bottom w:w="0" w:type="dxa"/>
              <w:right w:w="40" w:type="dxa"/>
            </w:tcMar>
            <w:vAlign w:val="center"/>
          </w:tcPr>
          <w:p w14:paraId="5164029E" w14:textId="77777777" w:rsidR="008A34AE" w:rsidRDefault="008A34AE">
            <w:pPr>
              <w:widowControl w:val="0"/>
              <w:pBdr>
                <w:top w:val="nil"/>
                <w:left w:val="nil"/>
                <w:bottom w:val="nil"/>
                <w:right w:val="nil"/>
                <w:between w:val="nil"/>
              </w:pBdr>
              <w:contextualSpacing w:val="0"/>
              <w:rPr>
                <w:color w:val="205968"/>
                <w:sz w:val="18"/>
                <w:szCs w:val="18"/>
              </w:rPr>
            </w:pPr>
          </w:p>
        </w:tc>
        <w:tc>
          <w:tcPr>
            <w:tcW w:w="1626" w:type="dxa"/>
            <w:tcBorders>
              <w:top w:val="single" w:sz="4" w:space="0" w:color="000000"/>
              <w:left w:val="single" w:sz="4" w:space="0" w:color="000000"/>
              <w:bottom w:val="single" w:sz="4" w:space="0" w:color="000000"/>
              <w:right w:val="single" w:sz="4" w:space="0" w:color="000000"/>
            </w:tcBorders>
            <w:shd w:val="clear" w:color="auto" w:fill="31849B"/>
            <w:tcMar>
              <w:top w:w="0" w:type="dxa"/>
              <w:left w:w="40" w:type="dxa"/>
              <w:bottom w:w="0" w:type="dxa"/>
              <w:right w:w="40" w:type="dxa"/>
            </w:tcMar>
            <w:vAlign w:val="center"/>
          </w:tcPr>
          <w:p w14:paraId="04C5407E" w14:textId="77777777" w:rsidR="008A34AE" w:rsidRDefault="00F35562">
            <w:pPr>
              <w:spacing w:line="240" w:lineRule="auto"/>
              <w:contextualSpacing w:val="0"/>
              <w:rPr>
                <w:b/>
                <w:color w:val="FFFFFF"/>
                <w:sz w:val="18"/>
                <w:szCs w:val="18"/>
              </w:rPr>
            </w:pPr>
            <w:r>
              <w:rPr>
                <w:b/>
                <w:color w:val="FFFFFF"/>
                <w:sz w:val="18"/>
                <w:szCs w:val="18"/>
              </w:rPr>
              <w:t>Total, Fundación Carlos Slim, A.C.</w:t>
            </w:r>
          </w:p>
        </w:tc>
        <w:tc>
          <w:tcPr>
            <w:tcW w:w="992" w:type="dxa"/>
            <w:tcBorders>
              <w:top w:val="single" w:sz="4" w:space="0" w:color="000000"/>
              <w:left w:val="single" w:sz="4" w:space="0" w:color="000000"/>
              <w:bottom w:val="single" w:sz="4" w:space="0" w:color="000000"/>
              <w:right w:val="single" w:sz="4" w:space="0" w:color="000000"/>
            </w:tcBorders>
            <w:shd w:val="clear" w:color="auto" w:fill="93CDDC"/>
            <w:tcMar>
              <w:top w:w="0" w:type="dxa"/>
              <w:left w:w="40" w:type="dxa"/>
              <w:bottom w:w="0" w:type="dxa"/>
              <w:right w:w="40" w:type="dxa"/>
            </w:tcMar>
            <w:vAlign w:val="center"/>
          </w:tcPr>
          <w:p w14:paraId="1E47D421" w14:textId="77777777" w:rsidR="008A34AE" w:rsidRDefault="008A34AE">
            <w:pPr>
              <w:spacing w:line="240" w:lineRule="auto"/>
              <w:contextualSpacing w:val="0"/>
              <w:jc w:val="center"/>
              <w:rPr>
                <w:color w:val="205968"/>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44A1ABDD" w14:textId="77777777" w:rsidR="008A34AE" w:rsidRDefault="00F35562">
            <w:pPr>
              <w:spacing w:line="240" w:lineRule="auto"/>
              <w:contextualSpacing w:val="0"/>
              <w:jc w:val="center"/>
              <w:rPr>
                <w:color w:val="205968"/>
                <w:sz w:val="18"/>
                <w:szCs w:val="18"/>
              </w:rPr>
            </w:pPr>
            <w:r>
              <w:rPr>
                <w:color w:val="205968"/>
                <w:sz w:val="18"/>
                <w:szCs w:val="18"/>
              </w:rPr>
              <w:t>$412,288,485.35</w:t>
            </w:r>
          </w:p>
        </w:tc>
        <w:tc>
          <w:tcPr>
            <w:tcW w:w="2410" w:type="dxa"/>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094B07C4" w14:textId="77777777" w:rsidR="008A34AE" w:rsidRDefault="00F35562">
            <w:pPr>
              <w:spacing w:line="240" w:lineRule="auto"/>
              <w:contextualSpacing w:val="0"/>
              <w:jc w:val="center"/>
              <w:rPr>
                <w:color w:val="205968"/>
                <w:sz w:val="18"/>
                <w:szCs w:val="18"/>
              </w:rPr>
            </w:pPr>
            <w:r>
              <w:rPr>
                <w:color w:val="205968"/>
                <w:sz w:val="18"/>
                <w:szCs w:val="18"/>
              </w:rPr>
              <w:t>$412,361,535.24</w:t>
            </w:r>
          </w:p>
        </w:tc>
        <w:tc>
          <w:tcPr>
            <w:tcW w:w="1701" w:type="dxa"/>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1E75B2D0" w14:textId="77777777" w:rsidR="008A34AE" w:rsidRDefault="00F35562">
            <w:pPr>
              <w:spacing w:line="240" w:lineRule="auto"/>
              <w:contextualSpacing w:val="0"/>
              <w:jc w:val="center"/>
              <w:rPr>
                <w:color w:val="205968"/>
                <w:sz w:val="18"/>
                <w:szCs w:val="18"/>
              </w:rPr>
            </w:pPr>
            <w:r>
              <w:rPr>
                <w:color w:val="205968"/>
                <w:sz w:val="18"/>
                <w:szCs w:val="18"/>
              </w:rPr>
              <w:t>$2,061,807,676.20</w:t>
            </w:r>
          </w:p>
        </w:tc>
        <w:tc>
          <w:tcPr>
            <w:tcW w:w="1559" w:type="dxa"/>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2459896A" w14:textId="77777777" w:rsidR="008A34AE" w:rsidRDefault="00F35562">
            <w:pPr>
              <w:spacing w:line="240" w:lineRule="auto"/>
              <w:contextualSpacing w:val="0"/>
              <w:jc w:val="center"/>
              <w:rPr>
                <w:color w:val="205968"/>
                <w:sz w:val="18"/>
                <w:szCs w:val="18"/>
              </w:rPr>
            </w:pPr>
            <w:r>
              <w:rPr>
                <w:color w:val="205968"/>
                <w:sz w:val="18"/>
                <w:szCs w:val="18"/>
              </w:rPr>
              <w:t>$154,413,155.39</w:t>
            </w:r>
          </w:p>
        </w:tc>
        <w:tc>
          <w:tcPr>
            <w:tcW w:w="1984" w:type="dxa"/>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19F975A9" w14:textId="77777777" w:rsidR="008A34AE" w:rsidRDefault="00F35562">
            <w:pPr>
              <w:spacing w:line="240" w:lineRule="auto"/>
              <w:contextualSpacing w:val="0"/>
              <w:jc w:val="center"/>
              <w:rPr>
                <w:color w:val="205968"/>
                <w:sz w:val="18"/>
                <w:szCs w:val="18"/>
              </w:rPr>
            </w:pPr>
            <w:r>
              <w:rPr>
                <w:color w:val="205968"/>
                <w:sz w:val="18"/>
                <w:szCs w:val="18"/>
              </w:rPr>
              <w:t>$27,695,106.78</w:t>
            </w:r>
          </w:p>
        </w:tc>
        <w:tc>
          <w:tcPr>
            <w:tcW w:w="2630" w:type="dxa"/>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1223992F" w14:textId="77777777" w:rsidR="008A34AE" w:rsidRDefault="00F35562">
            <w:pPr>
              <w:spacing w:line="240" w:lineRule="auto"/>
              <w:contextualSpacing w:val="0"/>
              <w:jc w:val="center"/>
              <w:rPr>
                <w:color w:val="205968"/>
                <w:sz w:val="18"/>
                <w:szCs w:val="18"/>
              </w:rPr>
            </w:pPr>
            <w:r>
              <w:rPr>
                <w:color w:val="205968"/>
                <w:sz w:val="18"/>
                <w:szCs w:val="18"/>
              </w:rPr>
              <w:t>$184,982,477.22</w:t>
            </w:r>
          </w:p>
        </w:tc>
      </w:tr>
      <w:tr w:rsidR="008A34AE" w14:paraId="029FC290" w14:textId="77777777">
        <w:trPr>
          <w:trHeight w:val="300"/>
        </w:trPr>
        <w:tc>
          <w:tcPr>
            <w:tcW w:w="450" w:type="dxa"/>
            <w:tcBorders>
              <w:top w:val="single" w:sz="4" w:space="0" w:color="000000"/>
              <w:left w:val="single" w:sz="4" w:space="0" w:color="000000"/>
              <w:bottom w:val="single" w:sz="4" w:space="0" w:color="000000"/>
              <w:right w:val="single" w:sz="4" w:space="0" w:color="000000"/>
            </w:tcBorders>
            <w:shd w:val="clear" w:color="auto" w:fill="205968"/>
            <w:tcMar>
              <w:top w:w="0" w:type="dxa"/>
              <w:left w:w="40" w:type="dxa"/>
              <w:bottom w:w="0" w:type="dxa"/>
              <w:right w:w="40" w:type="dxa"/>
            </w:tcMar>
            <w:vAlign w:val="center"/>
          </w:tcPr>
          <w:p w14:paraId="0AF46AB6" w14:textId="77777777" w:rsidR="008A34AE" w:rsidRDefault="00F35562">
            <w:pPr>
              <w:spacing w:line="240" w:lineRule="auto"/>
              <w:contextualSpacing w:val="0"/>
              <w:jc w:val="center"/>
              <w:rPr>
                <w:b/>
                <w:color w:val="FFFFFF"/>
                <w:sz w:val="18"/>
                <w:szCs w:val="18"/>
              </w:rPr>
            </w:pPr>
            <w:r>
              <w:rPr>
                <w:b/>
                <w:color w:val="FFFFFF"/>
                <w:sz w:val="18"/>
                <w:szCs w:val="18"/>
              </w:rPr>
              <w:t>3</w:t>
            </w:r>
          </w:p>
        </w:tc>
        <w:tc>
          <w:tcPr>
            <w:tcW w:w="1626" w:type="dxa"/>
            <w:tcBorders>
              <w:top w:val="single" w:sz="4" w:space="0" w:color="000000"/>
              <w:left w:val="single" w:sz="4" w:space="0" w:color="000000"/>
              <w:bottom w:val="single" w:sz="4" w:space="0" w:color="000000"/>
              <w:right w:val="single" w:sz="4" w:space="0" w:color="000000"/>
            </w:tcBorders>
            <w:shd w:val="clear" w:color="auto" w:fill="31849B"/>
            <w:tcMar>
              <w:top w:w="0" w:type="dxa"/>
              <w:left w:w="40" w:type="dxa"/>
              <w:bottom w:w="0" w:type="dxa"/>
              <w:right w:w="40" w:type="dxa"/>
            </w:tcMar>
            <w:vAlign w:val="center"/>
          </w:tcPr>
          <w:p w14:paraId="5DAE79CB" w14:textId="77777777" w:rsidR="008A34AE" w:rsidRDefault="00F35562">
            <w:pPr>
              <w:spacing w:line="240" w:lineRule="auto"/>
              <w:contextualSpacing w:val="0"/>
              <w:rPr>
                <w:b/>
                <w:color w:val="FFFFFF"/>
                <w:sz w:val="18"/>
                <w:szCs w:val="18"/>
              </w:rPr>
            </w:pPr>
            <w:r>
              <w:rPr>
                <w:b/>
                <w:color w:val="FFFFFF"/>
                <w:sz w:val="18"/>
                <w:szCs w:val="18"/>
              </w:rPr>
              <w:t>Fideicomiso Fuerza México</w:t>
            </w:r>
          </w:p>
        </w:tc>
        <w:tc>
          <w:tcPr>
            <w:tcW w:w="992" w:type="dxa"/>
            <w:tcBorders>
              <w:top w:val="single" w:sz="4" w:space="0" w:color="000000"/>
              <w:left w:val="single" w:sz="4" w:space="0" w:color="000000"/>
              <w:bottom w:val="single" w:sz="4" w:space="0" w:color="000000"/>
              <w:right w:val="single" w:sz="4" w:space="0" w:color="000000"/>
            </w:tcBorders>
            <w:shd w:val="clear" w:color="auto" w:fill="93CDDC"/>
            <w:tcMar>
              <w:top w:w="0" w:type="dxa"/>
              <w:left w:w="40" w:type="dxa"/>
              <w:bottom w:w="0" w:type="dxa"/>
              <w:right w:w="40" w:type="dxa"/>
            </w:tcMar>
            <w:vAlign w:val="center"/>
          </w:tcPr>
          <w:p w14:paraId="09834B00" w14:textId="77777777" w:rsidR="008A34AE" w:rsidRDefault="00F35562">
            <w:pPr>
              <w:spacing w:line="240" w:lineRule="auto"/>
              <w:contextualSpacing w:val="0"/>
              <w:jc w:val="center"/>
              <w:rPr>
                <w:color w:val="205968"/>
                <w:sz w:val="18"/>
                <w:szCs w:val="18"/>
              </w:rPr>
            </w:pPr>
            <w:r>
              <w:rPr>
                <w:color w:val="205968"/>
                <w:sz w:val="18"/>
                <w:szCs w:val="18"/>
              </w:rPr>
              <w:t>Efectivo</w:t>
            </w:r>
          </w:p>
        </w:tc>
        <w:tc>
          <w:tcPr>
            <w:tcW w:w="1843" w:type="dxa"/>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0CE0E1D8" w14:textId="77777777" w:rsidR="008A34AE" w:rsidRDefault="00F35562">
            <w:pPr>
              <w:spacing w:line="240" w:lineRule="auto"/>
              <w:contextualSpacing w:val="0"/>
              <w:jc w:val="center"/>
              <w:rPr>
                <w:color w:val="205968"/>
                <w:sz w:val="18"/>
                <w:szCs w:val="18"/>
              </w:rPr>
            </w:pPr>
            <w:r>
              <w:rPr>
                <w:color w:val="205968"/>
                <w:sz w:val="18"/>
                <w:szCs w:val="18"/>
              </w:rPr>
              <w:t>$293,734,509.00</w:t>
            </w:r>
          </w:p>
        </w:tc>
        <w:tc>
          <w:tcPr>
            <w:tcW w:w="2410" w:type="dxa"/>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2A44E0B4" w14:textId="77777777" w:rsidR="008A34AE" w:rsidRDefault="00F35562">
            <w:pPr>
              <w:spacing w:line="240" w:lineRule="auto"/>
              <w:contextualSpacing w:val="0"/>
              <w:jc w:val="center"/>
              <w:rPr>
                <w:color w:val="205968"/>
                <w:sz w:val="18"/>
                <w:szCs w:val="18"/>
              </w:rPr>
            </w:pPr>
            <w:bookmarkStart w:id="15" w:name="_35nkun2" w:colFirst="0" w:colLast="0"/>
            <w:bookmarkEnd w:id="15"/>
            <w:r>
              <w:rPr>
                <w:color w:val="205968"/>
                <w:sz w:val="18"/>
                <w:szCs w:val="18"/>
              </w:rPr>
              <w:t>$416,794,576</w:t>
            </w:r>
            <w:r>
              <w:rPr>
                <w:color w:val="205968"/>
                <w:sz w:val="18"/>
                <w:szCs w:val="18"/>
                <w:vertAlign w:val="superscript"/>
              </w:rPr>
              <w:footnoteReference w:id="16"/>
            </w:r>
          </w:p>
        </w:tc>
        <w:tc>
          <w:tcPr>
            <w:tcW w:w="1701" w:type="dxa"/>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2F6D2CF0" w14:textId="77777777" w:rsidR="008A34AE" w:rsidRDefault="008A34AE">
            <w:pPr>
              <w:spacing w:line="240" w:lineRule="auto"/>
              <w:contextualSpacing w:val="0"/>
              <w:jc w:val="center"/>
              <w:rPr>
                <w:color w:val="205968"/>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0A61BAF9" w14:textId="77777777" w:rsidR="008A34AE" w:rsidRDefault="00F35562">
            <w:pPr>
              <w:spacing w:line="240" w:lineRule="auto"/>
              <w:contextualSpacing w:val="0"/>
              <w:jc w:val="center"/>
              <w:rPr>
                <w:color w:val="205968"/>
                <w:sz w:val="18"/>
                <w:szCs w:val="18"/>
              </w:rPr>
            </w:pPr>
            <w:r>
              <w:rPr>
                <w:color w:val="205968"/>
                <w:sz w:val="18"/>
                <w:szCs w:val="18"/>
              </w:rPr>
              <w:t>$11,067,814.55</w:t>
            </w:r>
          </w:p>
        </w:tc>
        <w:tc>
          <w:tcPr>
            <w:tcW w:w="1984" w:type="dxa"/>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624E9661" w14:textId="77777777" w:rsidR="008A34AE" w:rsidRDefault="008A34AE">
            <w:pPr>
              <w:spacing w:line="240" w:lineRule="auto"/>
              <w:contextualSpacing w:val="0"/>
              <w:jc w:val="center"/>
              <w:rPr>
                <w:color w:val="205968"/>
                <w:sz w:val="18"/>
                <w:szCs w:val="18"/>
              </w:rPr>
            </w:pPr>
          </w:p>
          <w:p w14:paraId="7BEC02B7" w14:textId="77777777" w:rsidR="008A34AE" w:rsidRDefault="00F35562">
            <w:pPr>
              <w:spacing w:line="240" w:lineRule="auto"/>
              <w:contextualSpacing w:val="0"/>
              <w:jc w:val="center"/>
              <w:rPr>
                <w:color w:val="205968"/>
                <w:sz w:val="18"/>
                <w:szCs w:val="18"/>
              </w:rPr>
            </w:pPr>
            <w:r>
              <w:rPr>
                <w:color w:val="205968"/>
                <w:sz w:val="18"/>
                <w:szCs w:val="18"/>
              </w:rPr>
              <w:t>$7,548,993</w:t>
            </w:r>
          </w:p>
        </w:tc>
        <w:tc>
          <w:tcPr>
            <w:tcW w:w="2630" w:type="dxa"/>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283133DF" w14:textId="77777777" w:rsidR="008A34AE" w:rsidRDefault="00F35562">
            <w:pPr>
              <w:spacing w:line="240" w:lineRule="auto"/>
              <w:contextualSpacing w:val="0"/>
              <w:jc w:val="center"/>
              <w:rPr>
                <w:color w:val="205968"/>
                <w:sz w:val="18"/>
                <w:szCs w:val="18"/>
              </w:rPr>
            </w:pPr>
            <w:r>
              <w:rPr>
                <w:color w:val="205968"/>
                <w:sz w:val="18"/>
                <w:szCs w:val="18"/>
              </w:rPr>
              <w:t>$174,165,610</w:t>
            </w:r>
          </w:p>
        </w:tc>
      </w:tr>
      <w:tr w:rsidR="008A34AE" w14:paraId="050B17E3" w14:textId="77777777">
        <w:trPr>
          <w:trHeight w:val="300"/>
        </w:trPr>
        <w:tc>
          <w:tcPr>
            <w:tcW w:w="450" w:type="dxa"/>
            <w:tcBorders>
              <w:top w:val="single" w:sz="4" w:space="0" w:color="000000"/>
              <w:left w:val="single" w:sz="4" w:space="0" w:color="000000"/>
              <w:bottom w:val="single" w:sz="4" w:space="0" w:color="000000"/>
              <w:right w:val="single" w:sz="4" w:space="0" w:color="000000"/>
            </w:tcBorders>
            <w:shd w:val="clear" w:color="auto" w:fill="205968"/>
            <w:tcMar>
              <w:top w:w="0" w:type="dxa"/>
              <w:left w:w="40" w:type="dxa"/>
              <w:bottom w:w="0" w:type="dxa"/>
              <w:right w:w="40" w:type="dxa"/>
            </w:tcMar>
            <w:vAlign w:val="center"/>
          </w:tcPr>
          <w:p w14:paraId="45F7CBE7" w14:textId="77777777" w:rsidR="008A34AE" w:rsidRDefault="00F35562">
            <w:pPr>
              <w:spacing w:line="240" w:lineRule="auto"/>
              <w:contextualSpacing w:val="0"/>
              <w:jc w:val="center"/>
              <w:rPr>
                <w:b/>
                <w:color w:val="FFFFFF"/>
                <w:sz w:val="18"/>
                <w:szCs w:val="18"/>
              </w:rPr>
            </w:pPr>
            <w:r>
              <w:rPr>
                <w:b/>
                <w:color w:val="FFFFFF"/>
                <w:sz w:val="18"/>
                <w:szCs w:val="18"/>
              </w:rPr>
              <w:t>4</w:t>
            </w:r>
          </w:p>
        </w:tc>
        <w:tc>
          <w:tcPr>
            <w:tcW w:w="1626" w:type="dxa"/>
            <w:tcBorders>
              <w:top w:val="single" w:sz="4" w:space="0" w:color="000000"/>
              <w:left w:val="single" w:sz="4" w:space="0" w:color="000000"/>
              <w:bottom w:val="single" w:sz="4" w:space="0" w:color="000000"/>
              <w:right w:val="single" w:sz="4" w:space="0" w:color="000000"/>
            </w:tcBorders>
            <w:shd w:val="clear" w:color="auto" w:fill="31849B"/>
            <w:tcMar>
              <w:top w:w="0" w:type="dxa"/>
              <w:left w:w="40" w:type="dxa"/>
              <w:bottom w:w="0" w:type="dxa"/>
              <w:right w:w="40" w:type="dxa"/>
            </w:tcMar>
            <w:vAlign w:val="center"/>
          </w:tcPr>
          <w:p w14:paraId="4E564299" w14:textId="77777777" w:rsidR="008A34AE" w:rsidRDefault="00F35562">
            <w:pPr>
              <w:spacing w:line="240" w:lineRule="auto"/>
              <w:contextualSpacing w:val="0"/>
              <w:rPr>
                <w:b/>
                <w:color w:val="FFFFFF"/>
                <w:sz w:val="18"/>
                <w:szCs w:val="18"/>
              </w:rPr>
            </w:pPr>
            <w:r>
              <w:rPr>
                <w:b/>
                <w:color w:val="FFFFFF"/>
                <w:sz w:val="18"/>
                <w:szCs w:val="18"/>
              </w:rPr>
              <w:t>Fundación BBVA Bancomer, A.C.</w:t>
            </w:r>
          </w:p>
        </w:tc>
        <w:tc>
          <w:tcPr>
            <w:tcW w:w="992" w:type="dxa"/>
            <w:tcBorders>
              <w:top w:val="single" w:sz="4" w:space="0" w:color="000000"/>
              <w:left w:val="single" w:sz="4" w:space="0" w:color="000000"/>
              <w:bottom w:val="single" w:sz="4" w:space="0" w:color="000000"/>
              <w:right w:val="single" w:sz="4" w:space="0" w:color="000000"/>
            </w:tcBorders>
            <w:shd w:val="clear" w:color="auto" w:fill="93CDDC"/>
            <w:tcMar>
              <w:top w:w="0" w:type="dxa"/>
              <w:left w:w="40" w:type="dxa"/>
              <w:bottom w:w="0" w:type="dxa"/>
              <w:right w:w="40" w:type="dxa"/>
            </w:tcMar>
            <w:vAlign w:val="center"/>
          </w:tcPr>
          <w:p w14:paraId="5E45C4B7" w14:textId="77777777" w:rsidR="008A34AE" w:rsidRDefault="00F35562">
            <w:pPr>
              <w:spacing w:line="240" w:lineRule="auto"/>
              <w:contextualSpacing w:val="0"/>
              <w:jc w:val="center"/>
              <w:rPr>
                <w:color w:val="205968"/>
                <w:sz w:val="18"/>
                <w:szCs w:val="18"/>
              </w:rPr>
            </w:pPr>
            <w:r>
              <w:rPr>
                <w:color w:val="205968"/>
                <w:sz w:val="18"/>
                <w:szCs w:val="18"/>
              </w:rPr>
              <w:t>Efectivo</w:t>
            </w:r>
          </w:p>
        </w:tc>
        <w:tc>
          <w:tcPr>
            <w:tcW w:w="1843" w:type="dxa"/>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35989838" w14:textId="77777777" w:rsidR="008A34AE" w:rsidRDefault="00F35562">
            <w:pPr>
              <w:spacing w:line="240" w:lineRule="auto"/>
              <w:contextualSpacing w:val="0"/>
              <w:jc w:val="center"/>
              <w:rPr>
                <w:color w:val="205968"/>
                <w:sz w:val="18"/>
                <w:szCs w:val="18"/>
              </w:rPr>
            </w:pPr>
            <w:r>
              <w:rPr>
                <w:color w:val="205968"/>
                <w:sz w:val="18"/>
                <w:szCs w:val="18"/>
              </w:rPr>
              <w:t>$231,788,280.00</w:t>
            </w:r>
          </w:p>
        </w:tc>
        <w:tc>
          <w:tcPr>
            <w:tcW w:w="2410" w:type="dxa"/>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3A1459DC" w14:textId="77777777" w:rsidR="008A34AE" w:rsidRDefault="00F35562">
            <w:pPr>
              <w:spacing w:line="240" w:lineRule="auto"/>
              <w:contextualSpacing w:val="0"/>
              <w:jc w:val="center"/>
              <w:rPr>
                <w:color w:val="205968"/>
                <w:sz w:val="18"/>
                <w:szCs w:val="18"/>
              </w:rPr>
            </w:pPr>
            <w:r>
              <w:rPr>
                <w:color w:val="205968"/>
                <w:sz w:val="18"/>
                <w:szCs w:val="18"/>
              </w:rPr>
              <w:t>$303,332,619.00</w:t>
            </w:r>
            <w:r>
              <w:rPr>
                <w:color w:val="205968"/>
                <w:sz w:val="18"/>
                <w:szCs w:val="18"/>
                <w:vertAlign w:val="superscript"/>
              </w:rPr>
              <w:footnoteReference w:id="17"/>
            </w:r>
          </w:p>
        </w:tc>
        <w:tc>
          <w:tcPr>
            <w:tcW w:w="1701" w:type="dxa"/>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39C82BA2" w14:textId="77777777" w:rsidR="008A34AE" w:rsidRDefault="00F35562">
            <w:pPr>
              <w:spacing w:line="240" w:lineRule="auto"/>
              <w:contextualSpacing w:val="0"/>
              <w:jc w:val="center"/>
              <w:rPr>
                <w:color w:val="205968"/>
                <w:sz w:val="18"/>
                <w:szCs w:val="18"/>
              </w:rPr>
            </w:pPr>
            <w:r>
              <w:rPr>
                <w:color w:val="205968"/>
                <w:sz w:val="18"/>
                <w:szCs w:val="18"/>
              </w:rPr>
              <w:t>$180,000,000.00</w:t>
            </w:r>
          </w:p>
        </w:tc>
        <w:tc>
          <w:tcPr>
            <w:tcW w:w="1559" w:type="dxa"/>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4F3EB01B" w14:textId="77777777" w:rsidR="008A34AE" w:rsidRDefault="00F35562">
            <w:pPr>
              <w:spacing w:line="240" w:lineRule="auto"/>
              <w:contextualSpacing w:val="0"/>
              <w:rPr>
                <w:color w:val="205968"/>
                <w:sz w:val="18"/>
                <w:szCs w:val="18"/>
              </w:rPr>
            </w:pPr>
            <w:r>
              <w:rPr>
                <w:color w:val="205968"/>
                <w:sz w:val="18"/>
                <w:szCs w:val="18"/>
              </w:rPr>
              <w:t>No lo ha hecho</w:t>
            </w:r>
            <w:r>
              <w:rPr>
                <w:color w:val="205968"/>
                <w:sz w:val="18"/>
                <w:szCs w:val="18"/>
              </w:rPr>
              <w:br/>
              <w:t>público</w:t>
            </w:r>
          </w:p>
        </w:tc>
        <w:tc>
          <w:tcPr>
            <w:tcW w:w="1984" w:type="dxa"/>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32F6D5E0" w14:textId="77777777" w:rsidR="008A34AE" w:rsidRDefault="00F35562">
            <w:pPr>
              <w:spacing w:line="240" w:lineRule="auto"/>
              <w:contextualSpacing w:val="0"/>
              <w:jc w:val="center"/>
              <w:rPr>
                <w:color w:val="205968"/>
                <w:sz w:val="18"/>
                <w:szCs w:val="18"/>
              </w:rPr>
            </w:pPr>
            <w:r>
              <w:rPr>
                <w:color w:val="205968"/>
                <w:sz w:val="18"/>
                <w:szCs w:val="18"/>
              </w:rPr>
              <w:t>$11,492,161</w:t>
            </w:r>
          </w:p>
        </w:tc>
        <w:tc>
          <w:tcPr>
            <w:tcW w:w="2630" w:type="dxa"/>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4277B297" w14:textId="77777777" w:rsidR="008A34AE" w:rsidRDefault="00F35562">
            <w:pPr>
              <w:spacing w:line="240" w:lineRule="auto"/>
              <w:contextualSpacing w:val="0"/>
              <w:jc w:val="center"/>
              <w:rPr>
                <w:color w:val="205968"/>
                <w:sz w:val="18"/>
                <w:szCs w:val="18"/>
              </w:rPr>
            </w:pPr>
            <w:r>
              <w:rPr>
                <w:color w:val="205968"/>
                <w:sz w:val="18"/>
                <w:szCs w:val="18"/>
              </w:rPr>
              <w:t>$78,561,620</w:t>
            </w:r>
          </w:p>
        </w:tc>
      </w:tr>
      <w:tr w:rsidR="008A34AE" w14:paraId="6460C12E" w14:textId="77777777">
        <w:trPr>
          <w:trHeight w:val="300"/>
        </w:trPr>
        <w:tc>
          <w:tcPr>
            <w:tcW w:w="450" w:type="dxa"/>
            <w:tcBorders>
              <w:top w:val="single" w:sz="4" w:space="0" w:color="000000"/>
              <w:left w:val="single" w:sz="4" w:space="0" w:color="000000"/>
              <w:bottom w:val="single" w:sz="4" w:space="0" w:color="000000"/>
              <w:right w:val="single" w:sz="4" w:space="0" w:color="000000"/>
            </w:tcBorders>
            <w:shd w:val="clear" w:color="auto" w:fill="205968"/>
            <w:tcMar>
              <w:top w:w="0" w:type="dxa"/>
              <w:left w:w="40" w:type="dxa"/>
              <w:bottom w:w="0" w:type="dxa"/>
              <w:right w:w="40" w:type="dxa"/>
            </w:tcMar>
            <w:vAlign w:val="center"/>
          </w:tcPr>
          <w:p w14:paraId="15A00874" w14:textId="77777777" w:rsidR="008A34AE" w:rsidRDefault="00F35562">
            <w:pPr>
              <w:spacing w:line="240" w:lineRule="auto"/>
              <w:contextualSpacing w:val="0"/>
              <w:jc w:val="center"/>
              <w:rPr>
                <w:b/>
                <w:color w:val="FFFFFF"/>
                <w:sz w:val="18"/>
                <w:szCs w:val="18"/>
              </w:rPr>
            </w:pPr>
            <w:r>
              <w:rPr>
                <w:b/>
                <w:color w:val="FFFFFF"/>
                <w:sz w:val="18"/>
                <w:szCs w:val="18"/>
              </w:rPr>
              <w:t>5</w:t>
            </w:r>
          </w:p>
        </w:tc>
        <w:tc>
          <w:tcPr>
            <w:tcW w:w="1626" w:type="dxa"/>
            <w:tcBorders>
              <w:top w:val="single" w:sz="4" w:space="0" w:color="000000"/>
              <w:left w:val="single" w:sz="4" w:space="0" w:color="000000"/>
              <w:bottom w:val="single" w:sz="4" w:space="0" w:color="000000"/>
              <w:right w:val="single" w:sz="4" w:space="0" w:color="000000"/>
            </w:tcBorders>
            <w:shd w:val="clear" w:color="auto" w:fill="31849B"/>
            <w:tcMar>
              <w:top w:w="0" w:type="dxa"/>
              <w:left w:w="40" w:type="dxa"/>
              <w:bottom w:w="0" w:type="dxa"/>
              <w:right w:w="40" w:type="dxa"/>
            </w:tcMar>
            <w:vAlign w:val="center"/>
          </w:tcPr>
          <w:p w14:paraId="37710B54" w14:textId="77777777" w:rsidR="008A34AE" w:rsidRDefault="00F35562">
            <w:pPr>
              <w:spacing w:line="240" w:lineRule="auto"/>
              <w:contextualSpacing w:val="0"/>
              <w:rPr>
                <w:b/>
                <w:color w:val="FFFFFF"/>
                <w:sz w:val="18"/>
                <w:szCs w:val="18"/>
              </w:rPr>
            </w:pPr>
            <w:r>
              <w:rPr>
                <w:b/>
                <w:color w:val="FFFFFF"/>
                <w:sz w:val="18"/>
                <w:szCs w:val="18"/>
              </w:rPr>
              <w:t>Fomento Social Banamex, A.C.</w:t>
            </w:r>
          </w:p>
        </w:tc>
        <w:tc>
          <w:tcPr>
            <w:tcW w:w="992" w:type="dxa"/>
            <w:tcBorders>
              <w:top w:val="single" w:sz="4" w:space="0" w:color="000000"/>
              <w:left w:val="single" w:sz="4" w:space="0" w:color="000000"/>
              <w:bottom w:val="single" w:sz="4" w:space="0" w:color="000000"/>
              <w:right w:val="single" w:sz="4" w:space="0" w:color="000000"/>
            </w:tcBorders>
            <w:shd w:val="clear" w:color="auto" w:fill="93CDDC"/>
            <w:tcMar>
              <w:top w:w="0" w:type="dxa"/>
              <w:left w:w="40" w:type="dxa"/>
              <w:bottom w:w="0" w:type="dxa"/>
              <w:right w:w="40" w:type="dxa"/>
            </w:tcMar>
            <w:vAlign w:val="center"/>
          </w:tcPr>
          <w:p w14:paraId="06CC7068" w14:textId="77777777" w:rsidR="008A34AE" w:rsidRDefault="00F35562">
            <w:pPr>
              <w:spacing w:line="240" w:lineRule="auto"/>
              <w:contextualSpacing w:val="0"/>
              <w:jc w:val="center"/>
              <w:rPr>
                <w:color w:val="205968"/>
                <w:sz w:val="18"/>
                <w:szCs w:val="18"/>
              </w:rPr>
            </w:pPr>
            <w:r>
              <w:rPr>
                <w:color w:val="205968"/>
                <w:sz w:val="18"/>
                <w:szCs w:val="18"/>
              </w:rPr>
              <w:t>Efectivo</w:t>
            </w:r>
          </w:p>
        </w:tc>
        <w:tc>
          <w:tcPr>
            <w:tcW w:w="1843" w:type="dxa"/>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6C0105EB" w14:textId="77777777" w:rsidR="008A34AE" w:rsidRDefault="00F35562">
            <w:pPr>
              <w:spacing w:line="240" w:lineRule="auto"/>
              <w:contextualSpacing w:val="0"/>
              <w:jc w:val="center"/>
              <w:rPr>
                <w:color w:val="205968"/>
                <w:sz w:val="18"/>
                <w:szCs w:val="18"/>
              </w:rPr>
            </w:pPr>
            <w:r>
              <w:rPr>
                <w:color w:val="205968"/>
                <w:sz w:val="18"/>
                <w:szCs w:val="18"/>
              </w:rPr>
              <w:t>$196,587,578.88</w:t>
            </w:r>
          </w:p>
        </w:tc>
        <w:tc>
          <w:tcPr>
            <w:tcW w:w="2410" w:type="dxa"/>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7E4CF4CA" w14:textId="77777777" w:rsidR="008A34AE" w:rsidRDefault="00F35562">
            <w:pPr>
              <w:spacing w:line="240" w:lineRule="auto"/>
              <w:contextualSpacing w:val="0"/>
              <w:rPr>
                <w:color w:val="205968"/>
                <w:sz w:val="18"/>
                <w:szCs w:val="18"/>
              </w:rPr>
            </w:pPr>
            <w:r>
              <w:rPr>
                <w:color w:val="205968"/>
                <w:sz w:val="18"/>
                <w:szCs w:val="18"/>
              </w:rPr>
              <w:t>No proporciona información financiera sobre donativos en su página web</w:t>
            </w:r>
            <w:r>
              <w:rPr>
                <w:color w:val="205968"/>
                <w:sz w:val="18"/>
                <w:szCs w:val="18"/>
                <w:vertAlign w:val="superscript"/>
              </w:rPr>
              <w:footnoteReference w:id="18"/>
            </w:r>
          </w:p>
        </w:tc>
        <w:tc>
          <w:tcPr>
            <w:tcW w:w="1701" w:type="dxa"/>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6957E34A" w14:textId="77777777" w:rsidR="008A34AE" w:rsidRDefault="00F35562">
            <w:pPr>
              <w:spacing w:line="240" w:lineRule="auto"/>
              <w:contextualSpacing w:val="0"/>
              <w:rPr>
                <w:color w:val="205968"/>
                <w:sz w:val="18"/>
                <w:szCs w:val="18"/>
              </w:rPr>
            </w:pPr>
            <w:r>
              <w:rPr>
                <w:color w:val="205968"/>
                <w:sz w:val="18"/>
                <w:szCs w:val="18"/>
              </w:rPr>
              <w:t>No lo ha hecho</w:t>
            </w:r>
            <w:r>
              <w:rPr>
                <w:color w:val="205968"/>
                <w:sz w:val="18"/>
                <w:szCs w:val="18"/>
              </w:rPr>
              <w:br/>
              <w:t>público</w:t>
            </w:r>
          </w:p>
        </w:tc>
        <w:tc>
          <w:tcPr>
            <w:tcW w:w="1559" w:type="dxa"/>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6BB77C1A" w14:textId="77777777" w:rsidR="008A34AE" w:rsidRDefault="00F35562">
            <w:pPr>
              <w:spacing w:line="240" w:lineRule="auto"/>
              <w:contextualSpacing w:val="0"/>
              <w:rPr>
                <w:color w:val="205968"/>
                <w:sz w:val="18"/>
                <w:szCs w:val="18"/>
              </w:rPr>
            </w:pPr>
            <w:r>
              <w:rPr>
                <w:color w:val="205968"/>
                <w:sz w:val="18"/>
                <w:szCs w:val="18"/>
              </w:rPr>
              <w:t>No lo ha hecho</w:t>
            </w:r>
            <w:r>
              <w:rPr>
                <w:color w:val="205968"/>
                <w:sz w:val="18"/>
                <w:szCs w:val="18"/>
              </w:rPr>
              <w:br/>
              <w:t>público</w:t>
            </w:r>
          </w:p>
        </w:tc>
        <w:tc>
          <w:tcPr>
            <w:tcW w:w="1984" w:type="dxa"/>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7920D2B3" w14:textId="77777777" w:rsidR="008A34AE" w:rsidRDefault="00F35562">
            <w:pPr>
              <w:spacing w:line="240" w:lineRule="auto"/>
              <w:contextualSpacing w:val="0"/>
              <w:jc w:val="center"/>
              <w:rPr>
                <w:color w:val="205968"/>
                <w:sz w:val="18"/>
                <w:szCs w:val="18"/>
              </w:rPr>
            </w:pPr>
            <w:r>
              <w:rPr>
                <w:color w:val="205968"/>
                <w:sz w:val="18"/>
                <w:szCs w:val="18"/>
              </w:rPr>
              <w:t>$142,929,145</w:t>
            </w:r>
          </w:p>
        </w:tc>
        <w:tc>
          <w:tcPr>
            <w:tcW w:w="2630" w:type="dxa"/>
            <w:tcBorders>
              <w:top w:val="single" w:sz="4" w:space="0" w:color="000000"/>
              <w:left w:val="single" w:sz="4" w:space="0" w:color="000000"/>
              <w:bottom w:val="single" w:sz="4" w:space="0" w:color="000000"/>
              <w:right w:val="single" w:sz="4" w:space="0" w:color="000000"/>
            </w:tcBorders>
            <w:shd w:val="clear" w:color="auto" w:fill="B7DDE8"/>
            <w:tcMar>
              <w:top w:w="0" w:type="dxa"/>
              <w:left w:w="40" w:type="dxa"/>
              <w:bottom w:w="0" w:type="dxa"/>
              <w:right w:w="40" w:type="dxa"/>
            </w:tcMar>
            <w:vAlign w:val="center"/>
          </w:tcPr>
          <w:p w14:paraId="7B401489" w14:textId="77777777" w:rsidR="008A34AE" w:rsidRDefault="00F35562">
            <w:pPr>
              <w:spacing w:line="240" w:lineRule="auto"/>
              <w:contextualSpacing w:val="0"/>
              <w:rPr>
                <w:color w:val="205968"/>
                <w:sz w:val="18"/>
                <w:szCs w:val="18"/>
              </w:rPr>
            </w:pPr>
            <w:r>
              <w:rPr>
                <w:color w:val="205968"/>
                <w:sz w:val="18"/>
                <w:szCs w:val="18"/>
              </w:rPr>
              <w:t>No proporciona información financiera sobre donativos en su página web</w:t>
            </w:r>
          </w:p>
        </w:tc>
      </w:tr>
    </w:tbl>
    <w:p w14:paraId="6EDFF3D3" w14:textId="77777777" w:rsidR="008A34AE" w:rsidRDefault="00F35562">
      <w:pPr>
        <w:contextualSpacing w:val="0"/>
        <w:jc w:val="both"/>
        <w:rPr>
          <w:color w:val="0000FF"/>
          <w:sz w:val="16"/>
          <w:szCs w:val="16"/>
        </w:rPr>
      </w:pPr>
      <w:r>
        <w:rPr>
          <w:b/>
          <w:color w:val="595959"/>
          <w:sz w:val="16"/>
          <w:szCs w:val="16"/>
        </w:rPr>
        <w:t>Fuente</w:t>
      </w:r>
      <w:r>
        <w:rPr>
          <w:color w:val="595959"/>
          <w:sz w:val="16"/>
          <w:szCs w:val="16"/>
        </w:rPr>
        <w:t>: Elaboración propia con datos de la base publicada por el SAT al 31 de mayo de 2018</w:t>
      </w:r>
      <w:r w:rsidR="00695337">
        <w:rPr>
          <w:color w:val="595959"/>
          <w:sz w:val="16"/>
          <w:szCs w:val="16"/>
        </w:rPr>
        <w:t>,</w:t>
      </w:r>
      <w:r>
        <w:rPr>
          <w:color w:val="595959"/>
          <w:sz w:val="16"/>
          <w:szCs w:val="16"/>
        </w:rPr>
        <w:t xml:space="preserve"> disponible en </w:t>
      </w:r>
      <w:hyperlink r:id="rId15">
        <w:r>
          <w:rPr>
            <w:color w:val="1155CC"/>
            <w:sz w:val="16"/>
            <w:szCs w:val="16"/>
            <w:u w:val="single"/>
          </w:rPr>
          <w:t>http://200.57.3.46:443/donatarias/deroga.aspx</w:t>
        </w:r>
      </w:hyperlink>
      <w:r>
        <w:rPr>
          <w:color w:val="0000FF"/>
          <w:sz w:val="16"/>
          <w:szCs w:val="16"/>
        </w:rPr>
        <w:t xml:space="preserve"> </w:t>
      </w:r>
      <w:r>
        <w:rPr>
          <w:color w:val="595959"/>
          <w:sz w:val="16"/>
          <w:szCs w:val="16"/>
        </w:rPr>
        <w:t xml:space="preserve">y con datos publicados en las páginas electrónicas de las donatarias y fideicomisos autorizados, consultadas el 6 de septiembre de 2018. </w:t>
      </w:r>
    </w:p>
    <w:p w14:paraId="2099D7FF" w14:textId="77777777" w:rsidR="008A34AE" w:rsidRDefault="008A34AE">
      <w:pPr>
        <w:widowControl w:val="0"/>
        <w:pBdr>
          <w:top w:val="nil"/>
          <w:left w:val="nil"/>
          <w:bottom w:val="nil"/>
          <w:right w:val="nil"/>
          <w:between w:val="nil"/>
        </w:pBdr>
        <w:contextualSpacing w:val="0"/>
        <w:rPr>
          <w:color w:val="0000FF"/>
          <w:sz w:val="18"/>
          <w:szCs w:val="18"/>
        </w:rPr>
        <w:sectPr w:rsidR="008A34AE" w:rsidSect="000951BC">
          <w:pgSz w:w="16834" w:h="11909" w:orient="landscape"/>
          <w:pgMar w:top="1440" w:right="1440" w:bottom="1440" w:left="1440" w:header="0" w:footer="720" w:gutter="0"/>
          <w:cols w:space="720"/>
          <w:docGrid w:linePitch="299"/>
        </w:sectPr>
      </w:pPr>
    </w:p>
    <w:p w14:paraId="49000C4E" w14:textId="4371F72E" w:rsidR="008A34AE" w:rsidRDefault="00F35562">
      <w:pPr>
        <w:contextualSpacing w:val="0"/>
        <w:jc w:val="both"/>
        <w:rPr>
          <w:color w:val="595959"/>
        </w:rPr>
      </w:pPr>
      <w:r>
        <w:rPr>
          <w:color w:val="595959"/>
        </w:rPr>
        <w:lastRenderedPageBreak/>
        <w:t xml:space="preserve">Si bien estas cinco donatarias son una muestra de </w:t>
      </w:r>
      <w:r w:rsidR="005D34E9">
        <w:rPr>
          <w:color w:val="595959"/>
        </w:rPr>
        <w:t>estos organismos autorizados</w:t>
      </w:r>
      <w:r>
        <w:rPr>
          <w:color w:val="595959"/>
        </w:rPr>
        <w:t>, es de señalar que, a un año del sismo, todavía se siguen ejerciendo los recursos</w:t>
      </w:r>
      <w:r w:rsidR="00695337">
        <w:rPr>
          <w:color w:val="595959"/>
        </w:rPr>
        <w:t>,</w:t>
      </w:r>
      <w:r>
        <w:rPr>
          <w:color w:val="595959"/>
        </w:rPr>
        <w:t xml:space="preserve"> ya que el proceso de las obras todavía no ha terminado. En algunos casos, el ejercicio es bajo con respecto a la totalidad de recursos disponibles, como es el caso de la Fundación Carlos Slim o de la Fundación </w:t>
      </w:r>
      <w:r>
        <w:rPr>
          <w:color w:val="595959"/>
          <w:sz w:val="20"/>
          <w:szCs w:val="20"/>
        </w:rPr>
        <w:t>BBVA</w:t>
      </w:r>
      <w:r>
        <w:rPr>
          <w:color w:val="595959"/>
        </w:rPr>
        <w:t xml:space="preserve"> Bancomer. </w:t>
      </w:r>
    </w:p>
    <w:p w14:paraId="21E4EECB" w14:textId="77777777" w:rsidR="008A34AE" w:rsidRDefault="00F35562">
      <w:pPr>
        <w:ind w:firstLine="720"/>
        <w:contextualSpacing w:val="0"/>
        <w:jc w:val="both"/>
        <w:rPr>
          <w:color w:val="595959"/>
        </w:rPr>
      </w:pPr>
      <w:r>
        <w:rPr>
          <w:color w:val="595959"/>
        </w:rPr>
        <w:t>También es de destacar que</w:t>
      </w:r>
      <w:r w:rsidR="00695337">
        <w:rPr>
          <w:color w:val="595959"/>
        </w:rPr>
        <w:t>,</w:t>
      </w:r>
      <w:r>
        <w:rPr>
          <w:color w:val="595959"/>
        </w:rPr>
        <w:t xml:space="preserve"> a pesar de que estas son las cinco donatarias y fideicomisos autorizados por Hacienda que más recursos han recaudado, dos de ellas, la Cruz Roja Mexicana y Fomento Social Banamex, no tienen información financiera disponible al público en sus plataformas electrónicas.</w:t>
      </w:r>
    </w:p>
    <w:p w14:paraId="66A9AF25" w14:textId="6B0BBFD3" w:rsidR="008A34AE" w:rsidRDefault="00F35562">
      <w:pPr>
        <w:ind w:firstLine="720"/>
        <w:contextualSpacing w:val="0"/>
        <w:jc w:val="both"/>
        <w:rPr>
          <w:color w:val="595959"/>
        </w:rPr>
      </w:pPr>
      <w:r>
        <w:rPr>
          <w:color w:val="595959"/>
        </w:rPr>
        <w:t>Finalmente, no hay que olvidar que existen muchas más donatarias y fideicomisos autorizados que, si bien no recaudaron tal volumen de recursos en comparación con las anteriormente mencion</w:t>
      </w:r>
      <w:r w:rsidRPr="00C65FBA">
        <w:rPr>
          <w:color w:val="595959" w:themeColor="text1" w:themeTint="A6"/>
        </w:rPr>
        <w:t>adas, sí recibieron donaciones, por lo que deben rendir cuentas</w:t>
      </w:r>
      <w:r w:rsidR="00D250B5" w:rsidRPr="00C65FBA">
        <w:rPr>
          <w:color w:val="595959" w:themeColor="text1" w:themeTint="A6"/>
        </w:rPr>
        <w:t xml:space="preserve">, tanto a la </w:t>
      </w:r>
      <w:r w:rsidR="00C65FBA" w:rsidRPr="00C65FBA">
        <w:rPr>
          <w:color w:val="595959" w:themeColor="text1" w:themeTint="A6"/>
          <w:sz w:val="20"/>
        </w:rPr>
        <w:t>SHCP</w:t>
      </w:r>
      <w:r w:rsidR="00D250B5" w:rsidRPr="00C65FBA">
        <w:rPr>
          <w:color w:val="595959" w:themeColor="text1" w:themeTint="A6"/>
        </w:rPr>
        <w:t>, como a</w:t>
      </w:r>
      <w:r w:rsidR="00C65FBA" w:rsidRPr="00C65FBA">
        <w:rPr>
          <w:color w:val="595959" w:themeColor="text1" w:themeTint="A6"/>
        </w:rPr>
        <w:t xml:space="preserve"> la ciudadanía y a sus donantes. Por esto</w:t>
      </w:r>
      <w:r w:rsidR="00D250B5" w:rsidRPr="00C65FBA">
        <w:rPr>
          <w:color w:val="595959" w:themeColor="text1" w:themeTint="A6"/>
        </w:rPr>
        <w:t xml:space="preserve"> sería conveniente proveer información mediante sus páginas electrónicas</w:t>
      </w:r>
      <w:r w:rsidRPr="00C65FBA">
        <w:rPr>
          <w:color w:val="595959" w:themeColor="text1" w:themeTint="A6"/>
        </w:rPr>
        <w:t xml:space="preserve">. </w:t>
      </w:r>
      <w:r>
        <w:rPr>
          <w:color w:val="595959"/>
        </w:rPr>
        <w:t xml:space="preserve">La solidaridad nacional y extranjera crece cuando hay mayor transparencia y rendición de cuentas. </w:t>
      </w:r>
    </w:p>
    <w:p w14:paraId="16B110A3" w14:textId="77777777" w:rsidR="008A34AE" w:rsidRDefault="00F35562">
      <w:pPr>
        <w:shd w:val="clear" w:color="auto" w:fill="FFFFFF"/>
        <w:contextualSpacing w:val="0"/>
        <w:jc w:val="both"/>
        <w:rPr>
          <w:color w:val="595959"/>
          <w:sz w:val="19"/>
          <w:szCs w:val="19"/>
        </w:rPr>
      </w:pPr>
      <w:r>
        <w:rPr>
          <w:color w:val="595959"/>
          <w:sz w:val="19"/>
          <w:szCs w:val="19"/>
        </w:rPr>
        <w:t xml:space="preserve"> </w:t>
      </w:r>
    </w:p>
    <w:p w14:paraId="21D7E9CD" w14:textId="77777777" w:rsidR="008A34AE" w:rsidRDefault="00F35562" w:rsidP="00F80677">
      <w:pPr>
        <w:pStyle w:val="Ttulo2"/>
      </w:pPr>
      <w:bookmarkStart w:id="16" w:name="_Toc524361293"/>
      <w:r>
        <w:t>Distribución geográfica de recursos ejercidos</w:t>
      </w:r>
      <w:bookmarkEnd w:id="16"/>
    </w:p>
    <w:p w14:paraId="733113DE" w14:textId="77777777" w:rsidR="008A34AE" w:rsidRDefault="00F35562">
      <w:pPr>
        <w:shd w:val="clear" w:color="auto" w:fill="FFFFFF"/>
        <w:contextualSpacing w:val="0"/>
        <w:jc w:val="both"/>
        <w:rPr>
          <w:color w:val="595959"/>
        </w:rPr>
      </w:pPr>
      <w:r>
        <w:rPr>
          <w:color w:val="595959"/>
        </w:rPr>
        <w:t xml:space="preserve">Respecto a las donatarias que ejercieron los donativos por cuenta propia, tanto para emergencia, como para reconstrucción, ya que la base de datos del </w:t>
      </w:r>
      <w:r>
        <w:rPr>
          <w:color w:val="595959"/>
          <w:sz w:val="20"/>
          <w:szCs w:val="20"/>
        </w:rPr>
        <w:t>SAT</w:t>
      </w:r>
      <w:r>
        <w:rPr>
          <w:color w:val="595959"/>
        </w:rPr>
        <w:t xml:space="preserve"> no distingue dichos rubros</w:t>
      </w:r>
      <w:r w:rsidR="00695337">
        <w:rPr>
          <w:color w:val="595959"/>
        </w:rPr>
        <w:t>,</w:t>
      </w:r>
      <w:r>
        <w:rPr>
          <w:color w:val="595959"/>
        </w:rPr>
        <w:t xml:space="preserve"> los resultados al 31 de mayo de 2018 fueron los siguientes:</w:t>
      </w:r>
    </w:p>
    <w:p w14:paraId="3CD426E8" w14:textId="77777777" w:rsidR="008A34AE" w:rsidRDefault="008A34AE">
      <w:pPr>
        <w:contextualSpacing w:val="0"/>
        <w:jc w:val="both"/>
        <w:rPr>
          <w:color w:val="0000FF"/>
        </w:rPr>
      </w:pPr>
    </w:p>
    <w:p w14:paraId="31E5647B" w14:textId="77777777" w:rsidR="008A34AE" w:rsidRDefault="00F35562">
      <w:pPr>
        <w:contextualSpacing w:val="0"/>
        <w:jc w:val="center"/>
        <w:rPr>
          <w:b/>
          <w:color w:val="595959"/>
        </w:rPr>
      </w:pPr>
      <w:r>
        <w:rPr>
          <w:b/>
          <w:color w:val="595959"/>
        </w:rPr>
        <w:t>Tabla 11. Recursos ya ejercidos en apoyo a los afectados por entidad federativa</w:t>
      </w:r>
    </w:p>
    <w:tbl>
      <w:tblPr>
        <w:tblStyle w:val="a9"/>
        <w:tblW w:w="9639" w:type="dxa"/>
        <w:tblInd w:w="-326" w:type="dxa"/>
        <w:tblBorders>
          <w:top w:val="nil"/>
          <w:left w:val="nil"/>
          <w:bottom w:val="nil"/>
          <w:right w:val="nil"/>
          <w:insideH w:val="nil"/>
          <w:insideV w:val="nil"/>
        </w:tblBorders>
        <w:tblLayout w:type="fixed"/>
        <w:tblLook w:val="0600" w:firstRow="0" w:lastRow="0" w:firstColumn="0" w:lastColumn="0" w:noHBand="1" w:noVBand="1"/>
      </w:tblPr>
      <w:tblGrid>
        <w:gridCol w:w="2410"/>
        <w:gridCol w:w="1984"/>
        <w:gridCol w:w="1843"/>
        <w:gridCol w:w="2268"/>
        <w:gridCol w:w="1134"/>
      </w:tblGrid>
      <w:tr w:rsidR="008A34AE" w14:paraId="48EA3785" w14:textId="77777777" w:rsidTr="000951BC">
        <w:trPr>
          <w:trHeight w:val="500"/>
          <w:tblHeader/>
        </w:trPr>
        <w:tc>
          <w:tcPr>
            <w:tcW w:w="2411" w:type="dxa"/>
            <w:tcBorders>
              <w:top w:val="single" w:sz="4" w:space="0" w:color="000000"/>
              <w:left w:val="single" w:sz="4" w:space="0" w:color="000000"/>
              <w:bottom w:val="single" w:sz="4" w:space="0" w:color="000000"/>
              <w:right w:val="single" w:sz="4" w:space="0" w:color="000000"/>
            </w:tcBorders>
            <w:shd w:val="clear" w:color="auto" w:fill="205968"/>
            <w:tcMar>
              <w:top w:w="100" w:type="dxa"/>
              <w:left w:w="100" w:type="dxa"/>
              <w:bottom w:w="100" w:type="dxa"/>
              <w:right w:w="100" w:type="dxa"/>
            </w:tcMar>
            <w:vAlign w:val="center"/>
          </w:tcPr>
          <w:p w14:paraId="484C8020" w14:textId="77777777" w:rsidR="008A34AE" w:rsidRDefault="00F35562">
            <w:pPr>
              <w:spacing w:line="240" w:lineRule="auto"/>
              <w:contextualSpacing w:val="0"/>
              <w:jc w:val="center"/>
              <w:rPr>
                <w:b/>
                <w:color w:val="FFFFFF"/>
                <w:sz w:val="20"/>
                <w:szCs w:val="20"/>
              </w:rPr>
            </w:pPr>
            <w:r>
              <w:rPr>
                <w:b/>
                <w:color w:val="FFFFFF"/>
                <w:sz w:val="20"/>
                <w:szCs w:val="20"/>
              </w:rPr>
              <w:t>Entidad federativa en donde se ejercieron los recursos</w:t>
            </w:r>
          </w:p>
        </w:tc>
        <w:tc>
          <w:tcPr>
            <w:tcW w:w="1984" w:type="dxa"/>
            <w:tcBorders>
              <w:top w:val="single" w:sz="4" w:space="0" w:color="000000"/>
              <w:left w:val="single" w:sz="4" w:space="0" w:color="000000"/>
              <w:bottom w:val="single" w:sz="4" w:space="0" w:color="000000"/>
              <w:right w:val="single" w:sz="4" w:space="0" w:color="000000"/>
            </w:tcBorders>
            <w:shd w:val="clear" w:color="auto" w:fill="205968"/>
            <w:tcMar>
              <w:top w:w="100" w:type="dxa"/>
              <w:left w:w="100" w:type="dxa"/>
              <w:bottom w:w="100" w:type="dxa"/>
              <w:right w:w="100" w:type="dxa"/>
            </w:tcMar>
            <w:vAlign w:val="center"/>
          </w:tcPr>
          <w:p w14:paraId="39DC235E" w14:textId="77777777" w:rsidR="008A34AE" w:rsidRDefault="00F35562">
            <w:pPr>
              <w:spacing w:line="240" w:lineRule="auto"/>
              <w:contextualSpacing w:val="0"/>
              <w:jc w:val="center"/>
              <w:rPr>
                <w:b/>
                <w:color w:val="FFFFFF"/>
                <w:sz w:val="20"/>
                <w:szCs w:val="20"/>
              </w:rPr>
            </w:pPr>
            <w:r>
              <w:rPr>
                <w:b/>
                <w:color w:val="FFFFFF"/>
                <w:sz w:val="20"/>
                <w:szCs w:val="20"/>
              </w:rPr>
              <w:t xml:space="preserve">Suma de </w:t>
            </w:r>
            <w:r w:rsidR="00695337">
              <w:rPr>
                <w:b/>
                <w:color w:val="FFFFFF"/>
                <w:sz w:val="20"/>
                <w:szCs w:val="20"/>
              </w:rPr>
              <w:t>m</w:t>
            </w:r>
            <w:r>
              <w:rPr>
                <w:b/>
                <w:color w:val="FFFFFF"/>
                <w:sz w:val="20"/>
                <w:szCs w:val="20"/>
              </w:rPr>
              <w:t xml:space="preserve">onto en </w:t>
            </w:r>
            <w:r w:rsidR="00695337">
              <w:rPr>
                <w:b/>
                <w:color w:val="FFFFFF"/>
                <w:sz w:val="20"/>
                <w:szCs w:val="20"/>
              </w:rPr>
              <w:t>e</w:t>
            </w:r>
            <w:r>
              <w:rPr>
                <w:b/>
                <w:color w:val="FFFFFF"/>
                <w:sz w:val="20"/>
                <w:szCs w:val="20"/>
              </w:rPr>
              <w:t>fectivo</w:t>
            </w:r>
          </w:p>
        </w:tc>
        <w:tc>
          <w:tcPr>
            <w:tcW w:w="1843" w:type="dxa"/>
            <w:tcBorders>
              <w:top w:val="single" w:sz="4" w:space="0" w:color="000000"/>
              <w:left w:val="single" w:sz="4" w:space="0" w:color="000000"/>
              <w:bottom w:val="single" w:sz="4" w:space="0" w:color="000000"/>
              <w:right w:val="single" w:sz="4" w:space="0" w:color="000000"/>
            </w:tcBorders>
            <w:shd w:val="clear" w:color="auto" w:fill="205968"/>
            <w:tcMar>
              <w:top w:w="100" w:type="dxa"/>
              <w:left w:w="100" w:type="dxa"/>
              <w:bottom w:w="100" w:type="dxa"/>
              <w:right w:w="100" w:type="dxa"/>
            </w:tcMar>
            <w:vAlign w:val="center"/>
          </w:tcPr>
          <w:p w14:paraId="4D459B86" w14:textId="77777777" w:rsidR="008A34AE" w:rsidRDefault="00F35562">
            <w:pPr>
              <w:spacing w:line="240" w:lineRule="auto"/>
              <w:contextualSpacing w:val="0"/>
              <w:jc w:val="center"/>
              <w:rPr>
                <w:b/>
                <w:color w:val="FFFFFF"/>
                <w:sz w:val="20"/>
                <w:szCs w:val="20"/>
              </w:rPr>
            </w:pPr>
            <w:r>
              <w:rPr>
                <w:b/>
                <w:color w:val="FFFFFF"/>
                <w:sz w:val="20"/>
                <w:szCs w:val="20"/>
              </w:rPr>
              <w:t xml:space="preserve">Suma de </w:t>
            </w:r>
            <w:r w:rsidR="00695337">
              <w:rPr>
                <w:b/>
                <w:color w:val="FFFFFF"/>
                <w:sz w:val="20"/>
                <w:szCs w:val="20"/>
              </w:rPr>
              <w:t>v</w:t>
            </w:r>
            <w:r>
              <w:rPr>
                <w:b/>
                <w:color w:val="FFFFFF"/>
                <w:sz w:val="20"/>
                <w:szCs w:val="20"/>
              </w:rPr>
              <w:t xml:space="preserve">alor </w:t>
            </w:r>
            <w:r w:rsidR="00695337">
              <w:rPr>
                <w:b/>
                <w:color w:val="FFFFFF"/>
                <w:sz w:val="20"/>
                <w:szCs w:val="20"/>
              </w:rPr>
              <w:t>m</w:t>
            </w:r>
            <w:r>
              <w:rPr>
                <w:b/>
                <w:color w:val="FFFFFF"/>
                <w:sz w:val="20"/>
                <w:szCs w:val="20"/>
              </w:rPr>
              <w:t xml:space="preserve">onetario en </w:t>
            </w:r>
            <w:r w:rsidR="00695337">
              <w:rPr>
                <w:b/>
                <w:color w:val="FFFFFF"/>
                <w:sz w:val="20"/>
                <w:szCs w:val="20"/>
              </w:rPr>
              <w:t>e</w:t>
            </w:r>
            <w:r>
              <w:rPr>
                <w:b/>
                <w:color w:val="FFFFFF"/>
                <w:sz w:val="20"/>
                <w:szCs w:val="20"/>
              </w:rPr>
              <w:t>specie</w:t>
            </w:r>
          </w:p>
        </w:tc>
        <w:tc>
          <w:tcPr>
            <w:tcW w:w="2268" w:type="dxa"/>
            <w:tcBorders>
              <w:top w:val="single" w:sz="4" w:space="0" w:color="000000"/>
              <w:left w:val="nil"/>
              <w:bottom w:val="single" w:sz="4" w:space="0" w:color="000000"/>
              <w:right w:val="single" w:sz="4" w:space="0" w:color="000000"/>
            </w:tcBorders>
            <w:shd w:val="clear" w:color="auto" w:fill="205968"/>
            <w:tcMar>
              <w:top w:w="100" w:type="dxa"/>
              <w:left w:w="100" w:type="dxa"/>
              <w:bottom w:w="100" w:type="dxa"/>
              <w:right w:w="100" w:type="dxa"/>
            </w:tcMar>
            <w:vAlign w:val="center"/>
          </w:tcPr>
          <w:p w14:paraId="026C3D5F" w14:textId="77777777" w:rsidR="008A34AE" w:rsidRDefault="00F35562">
            <w:pPr>
              <w:widowControl w:val="0"/>
              <w:contextualSpacing w:val="0"/>
              <w:jc w:val="center"/>
              <w:rPr>
                <w:b/>
                <w:color w:val="FFFFFF"/>
              </w:rPr>
            </w:pPr>
            <w:r>
              <w:rPr>
                <w:b/>
                <w:color w:val="FFFFFF"/>
              </w:rPr>
              <w:t>Total</w:t>
            </w:r>
          </w:p>
        </w:tc>
        <w:tc>
          <w:tcPr>
            <w:tcW w:w="1134" w:type="dxa"/>
            <w:tcBorders>
              <w:top w:val="single" w:sz="4" w:space="0" w:color="000000"/>
              <w:left w:val="nil"/>
              <w:bottom w:val="single" w:sz="4" w:space="0" w:color="000000"/>
              <w:right w:val="single" w:sz="4" w:space="0" w:color="000000"/>
            </w:tcBorders>
            <w:shd w:val="clear" w:color="auto" w:fill="205968"/>
            <w:tcMar>
              <w:top w:w="100" w:type="dxa"/>
              <w:left w:w="100" w:type="dxa"/>
              <w:bottom w:w="100" w:type="dxa"/>
              <w:right w:w="100" w:type="dxa"/>
            </w:tcMar>
            <w:vAlign w:val="center"/>
          </w:tcPr>
          <w:p w14:paraId="0D7B2940" w14:textId="77777777" w:rsidR="008A34AE" w:rsidRDefault="00F35562">
            <w:pPr>
              <w:widowControl w:val="0"/>
              <w:contextualSpacing w:val="0"/>
              <w:jc w:val="center"/>
              <w:rPr>
                <w:b/>
                <w:color w:val="FFFFFF"/>
              </w:rPr>
            </w:pPr>
            <w:r>
              <w:rPr>
                <w:b/>
                <w:color w:val="FFFFFF"/>
              </w:rPr>
              <w:t>%</w:t>
            </w:r>
          </w:p>
        </w:tc>
      </w:tr>
      <w:tr w:rsidR="008A34AE" w14:paraId="682B1DC0" w14:textId="77777777">
        <w:trPr>
          <w:trHeight w:val="280"/>
        </w:trPr>
        <w:tc>
          <w:tcPr>
            <w:tcW w:w="2411" w:type="dxa"/>
            <w:tcBorders>
              <w:top w:val="nil"/>
              <w:left w:val="single" w:sz="4" w:space="0" w:color="000000"/>
              <w:bottom w:val="single" w:sz="4" w:space="0" w:color="000000"/>
              <w:right w:val="single" w:sz="4" w:space="0" w:color="000000"/>
            </w:tcBorders>
            <w:shd w:val="clear" w:color="auto" w:fill="31849B"/>
            <w:tcMar>
              <w:top w:w="100" w:type="dxa"/>
              <w:left w:w="100" w:type="dxa"/>
              <w:bottom w:w="100" w:type="dxa"/>
              <w:right w:w="100" w:type="dxa"/>
            </w:tcMar>
            <w:vAlign w:val="center"/>
          </w:tcPr>
          <w:p w14:paraId="5C60CDCB" w14:textId="77777777" w:rsidR="008A34AE" w:rsidRDefault="00F35562">
            <w:pPr>
              <w:widowControl w:val="0"/>
              <w:contextualSpacing w:val="0"/>
              <w:rPr>
                <w:color w:val="FFFFFF"/>
                <w:sz w:val="20"/>
                <w:szCs w:val="20"/>
              </w:rPr>
            </w:pPr>
            <w:r>
              <w:rPr>
                <w:color w:val="FFFFFF"/>
                <w:sz w:val="20"/>
                <w:szCs w:val="20"/>
              </w:rPr>
              <w:t>Chiapas</w:t>
            </w:r>
          </w:p>
        </w:tc>
        <w:tc>
          <w:tcPr>
            <w:tcW w:w="1984"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08C3D4D8" w14:textId="77777777" w:rsidR="008A34AE" w:rsidRDefault="00F35562">
            <w:pPr>
              <w:widowControl w:val="0"/>
              <w:contextualSpacing w:val="0"/>
              <w:jc w:val="center"/>
              <w:rPr>
                <w:color w:val="205968"/>
                <w:sz w:val="20"/>
                <w:szCs w:val="20"/>
              </w:rPr>
            </w:pPr>
            <w:r>
              <w:rPr>
                <w:color w:val="205968"/>
                <w:sz w:val="20"/>
                <w:szCs w:val="20"/>
              </w:rPr>
              <w:t>$57,057,357.00</w:t>
            </w:r>
          </w:p>
        </w:tc>
        <w:tc>
          <w:tcPr>
            <w:tcW w:w="1843"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5BC90BC1" w14:textId="77777777" w:rsidR="008A34AE" w:rsidRDefault="00F35562">
            <w:pPr>
              <w:widowControl w:val="0"/>
              <w:contextualSpacing w:val="0"/>
              <w:jc w:val="center"/>
              <w:rPr>
                <w:color w:val="205968"/>
                <w:sz w:val="20"/>
                <w:szCs w:val="20"/>
              </w:rPr>
            </w:pPr>
            <w:r>
              <w:rPr>
                <w:color w:val="205968"/>
                <w:sz w:val="20"/>
                <w:szCs w:val="20"/>
              </w:rPr>
              <w:t>$102,760,862.98</w:t>
            </w:r>
          </w:p>
        </w:tc>
        <w:tc>
          <w:tcPr>
            <w:tcW w:w="2268"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4AD4C82D" w14:textId="77777777" w:rsidR="008A34AE" w:rsidRDefault="00F35562">
            <w:pPr>
              <w:widowControl w:val="0"/>
              <w:contextualSpacing w:val="0"/>
              <w:jc w:val="center"/>
              <w:rPr>
                <w:color w:val="205968"/>
                <w:sz w:val="20"/>
                <w:szCs w:val="20"/>
              </w:rPr>
            </w:pPr>
            <w:r>
              <w:rPr>
                <w:color w:val="205968"/>
                <w:sz w:val="20"/>
                <w:szCs w:val="20"/>
              </w:rPr>
              <w:t>$159,818,219.98</w:t>
            </w:r>
          </w:p>
        </w:tc>
        <w:tc>
          <w:tcPr>
            <w:tcW w:w="1134"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601030C0" w14:textId="77777777" w:rsidR="008A34AE" w:rsidRDefault="00F35562">
            <w:pPr>
              <w:widowControl w:val="0"/>
              <w:contextualSpacing w:val="0"/>
              <w:jc w:val="center"/>
              <w:rPr>
                <w:color w:val="205968"/>
                <w:sz w:val="20"/>
                <w:szCs w:val="20"/>
              </w:rPr>
            </w:pPr>
            <w:r>
              <w:rPr>
                <w:color w:val="205968"/>
                <w:sz w:val="20"/>
                <w:szCs w:val="20"/>
              </w:rPr>
              <w:t>8.0</w:t>
            </w:r>
          </w:p>
        </w:tc>
      </w:tr>
      <w:tr w:rsidR="008A34AE" w14:paraId="20771B30" w14:textId="77777777">
        <w:trPr>
          <w:trHeight w:val="300"/>
        </w:trPr>
        <w:tc>
          <w:tcPr>
            <w:tcW w:w="2411" w:type="dxa"/>
            <w:tcBorders>
              <w:top w:val="nil"/>
              <w:left w:val="single" w:sz="4" w:space="0" w:color="000000"/>
              <w:bottom w:val="single" w:sz="4" w:space="0" w:color="000000"/>
              <w:right w:val="single" w:sz="4" w:space="0" w:color="000000"/>
            </w:tcBorders>
            <w:shd w:val="clear" w:color="auto" w:fill="31849B"/>
            <w:tcMar>
              <w:top w:w="100" w:type="dxa"/>
              <w:left w:w="100" w:type="dxa"/>
              <w:bottom w:w="100" w:type="dxa"/>
              <w:right w:w="100" w:type="dxa"/>
            </w:tcMar>
            <w:vAlign w:val="center"/>
          </w:tcPr>
          <w:p w14:paraId="59212D15" w14:textId="77777777" w:rsidR="008A34AE" w:rsidRDefault="00F35562">
            <w:pPr>
              <w:widowControl w:val="0"/>
              <w:contextualSpacing w:val="0"/>
              <w:rPr>
                <w:color w:val="FFFFFF"/>
                <w:sz w:val="20"/>
                <w:szCs w:val="20"/>
              </w:rPr>
            </w:pPr>
            <w:r>
              <w:rPr>
                <w:color w:val="FFFFFF"/>
                <w:sz w:val="20"/>
                <w:szCs w:val="20"/>
              </w:rPr>
              <w:t>Ciudad de México</w:t>
            </w:r>
          </w:p>
        </w:tc>
        <w:tc>
          <w:tcPr>
            <w:tcW w:w="1984"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68CB72C4" w14:textId="77777777" w:rsidR="008A34AE" w:rsidRDefault="00F35562">
            <w:pPr>
              <w:widowControl w:val="0"/>
              <w:contextualSpacing w:val="0"/>
              <w:jc w:val="center"/>
              <w:rPr>
                <w:color w:val="205968"/>
                <w:sz w:val="20"/>
                <w:szCs w:val="20"/>
              </w:rPr>
            </w:pPr>
            <w:r>
              <w:rPr>
                <w:color w:val="205968"/>
                <w:sz w:val="20"/>
                <w:szCs w:val="20"/>
              </w:rPr>
              <w:t>$136,655,680.40</w:t>
            </w:r>
          </w:p>
        </w:tc>
        <w:tc>
          <w:tcPr>
            <w:tcW w:w="1843"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5FFEB7DF" w14:textId="77777777" w:rsidR="008A34AE" w:rsidRDefault="00F35562">
            <w:pPr>
              <w:widowControl w:val="0"/>
              <w:contextualSpacing w:val="0"/>
              <w:jc w:val="center"/>
              <w:rPr>
                <w:color w:val="205968"/>
                <w:sz w:val="20"/>
                <w:szCs w:val="20"/>
              </w:rPr>
            </w:pPr>
            <w:r>
              <w:rPr>
                <w:color w:val="205968"/>
                <w:sz w:val="20"/>
                <w:szCs w:val="20"/>
              </w:rPr>
              <w:t>$128,827,062.01</w:t>
            </w:r>
          </w:p>
        </w:tc>
        <w:tc>
          <w:tcPr>
            <w:tcW w:w="2268"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49E0CAB7" w14:textId="77777777" w:rsidR="008A34AE" w:rsidRDefault="00F35562">
            <w:pPr>
              <w:widowControl w:val="0"/>
              <w:contextualSpacing w:val="0"/>
              <w:jc w:val="center"/>
              <w:rPr>
                <w:color w:val="205968"/>
                <w:sz w:val="20"/>
                <w:szCs w:val="20"/>
              </w:rPr>
            </w:pPr>
            <w:r>
              <w:rPr>
                <w:color w:val="205968"/>
                <w:sz w:val="20"/>
                <w:szCs w:val="20"/>
              </w:rPr>
              <w:t>$265,482,742.41</w:t>
            </w:r>
          </w:p>
        </w:tc>
        <w:tc>
          <w:tcPr>
            <w:tcW w:w="1134"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4FCDAD1D" w14:textId="77777777" w:rsidR="008A34AE" w:rsidRDefault="00F35562">
            <w:pPr>
              <w:widowControl w:val="0"/>
              <w:contextualSpacing w:val="0"/>
              <w:jc w:val="center"/>
              <w:rPr>
                <w:color w:val="205968"/>
                <w:sz w:val="20"/>
                <w:szCs w:val="20"/>
              </w:rPr>
            </w:pPr>
            <w:r>
              <w:rPr>
                <w:color w:val="205968"/>
                <w:sz w:val="20"/>
                <w:szCs w:val="20"/>
              </w:rPr>
              <w:t>13.3</w:t>
            </w:r>
          </w:p>
        </w:tc>
      </w:tr>
      <w:tr w:rsidR="008A34AE" w14:paraId="59F1EF1A" w14:textId="77777777">
        <w:trPr>
          <w:trHeight w:val="300"/>
        </w:trPr>
        <w:tc>
          <w:tcPr>
            <w:tcW w:w="2411" w:type="dxa"/>
            <w:tcBorders>
              <w:top w:val="nil"/>
              <w:left w:val="single" w:sz="4" w:space="0" w:color="000000"/>
              <w:bottom w:val="single" w:sz="4" w:space="0" w:color="000000"/>
              <w:right w:val="single" w:sz="4" w:space="0" w:color="000000"/>
            </w:tcBorders>
            <w:shd w:val="clear" w:color="auto" w:fill="31849B"/>
            <w:tcMar>
              <w:top w:w="100" w:type="dxa"/>
              <w:left w:w="100" w:type="dxa"/>
              <w:bottom w:w="100" w:type="dxa"/>
              <w:right w:w="100" w:type="dxa"/>
            </w:tcMar>
            <w:vAlign w:val="center"/>
          </w:tcPr>
          <w:p w14:paraId="145AB843" w14:textId="77777777" w:rsidR="008A34AE" w:rsidRDefault="00F35562">
            <w:pPr>
              <w:widowControl w:val="0"/>
              <w:contextualSpacing w:val="0"/>
              <w:rPr>
                <w:color w:val="FFFFFF"/>
                <w:sz w:val="20"/>
                <w:szCs w:val="20"/>
              </w:rPr>
            </w:pPr>
            <w:r>
              <w:rPr>
                <w:color w:val="FFFFFF"/>
                <w:sz w:val="20"/>
                <w:szCs w:val="20"/>
              </w:rPr>
              <w:t>Estado de México</w:t>
            </w:r>
          </w:p>
        </w:tc>
        <w:tc>
          <w:tcPr>
            <w:tcW w:w="1984"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775BA22D" w14:textId="77777777" w:rsidR="008A34AE" w:rsidRDefault="00F35562">
            <w:pPr>
              <w:widowControl w:val="0"/>
              <w:contextualSpacing w:val="0"/>
              <w:jc w:val="center"/>
              <w:rPr>
                <w:color w:val="205968"/>
                <w:sz w:val="20"/>
                <w:szCs w:val="20"/>
              </w:rPr>
            </w:pPr>
            <w:r>
              <w:rPr>
                <w:color w:val="205968"/>
                <w:sz w:val="20"/>
                <w:szCs w:val="20"/>
              </w:rPr>
              <w:t>$14,978,960.31</w:t>
            </w:r>
          </w:p>
        </w:tc>
        <w:tc>
          <w:tcPr>
            <w:tcW w:w="1843"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11698F43" w14:textId="77777777" w:rsidR="008A34AE" w:rsidRDefault="00F35562">
            <w:pPr>
              <w:widowControl w:val="0"/>
              <w:contextualSpacing w:val="0"/>
              <w:jc w:val="center"/>
              <w:rPr>
                <w:color w:val="205968"/>
                <w:sz w:val="20"/>
                <w:szCs w:val="20"/>
              </w:rPr>
            </w:pPr>
            <w:r>
              <w:rPr>
                <w:color w:val="205968"/>
                <w:sz w:val="20"/>
                <w:szCs w:val="20"/>
              </w:rPr>
              <w:t>$50,038,103.00</w:t>
            </w:r>
          </w:p>
        </w:tc>
        <w:tc>
          <w:tcPr>
            <w:tcW w:w="2268"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19A9BB02" w14:textId="77777777" w:rsidR="008A34AE" w:rsidRDefault="00F35562">
            <w:pPr>
              <w:widowControl w:val="0"/>
              <w:contextualSpacing w:val="0"/>
              <w:jc w:val="center"/>
              <w:rPr>
                <w:color w:val="205968"/>
                <w:sz w:val="20"/>
                <w:szCs w:val="20"/>
              </w:rPr>
            </w:pPr>
            <w:r>
              <w:rPr>
                <w:color w:val="205968"/>
                <w:sz w:val="20"/>
                <w:szCs w:val="20"/>
              </w:rPr>
              <w:t>$65,017,063.31</w:t>
            </w:r>
          </w:p>
        </w:tc>
        <w:tc>
          <w:tcPr>
            <w:tcW w:w="1134"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1F780203" w14:textId="77777777" w:rsidR="008A34AE" w:rsidRDefault="00F35562">
            <w:pPr>
              <w:widowControl w:val="0"/>
              <w:contextualSpacing w:val="0"/>
              <w:jc w:val="center"/>
              <w:rPr>
                <w:color w:val="205968"/>
                <w:sz w:val="20"/>
                <w:szCs w:val="20"/>
              </w:rPr>
            </w:pPr>
            <w:r>
              <w:rPr>
                <w:color w:val="205968"/>
                <w:sz w:val="20"/>
                <w:szCs w:val="20"/>
              </w:rPr>
              <w:t>3.3</w:t>
            </w:r>
          </w:p>
        </w:tc>
      </w:tr>
      <w:tr w:rsidR="008A34AE" w14:paraId="54861805" w14:textId="77777777">
        <w:trPr>
          <w:trHeight w:val="300"/>
        </w:trPr>
        <w:tc>
          <w:tcPr>
            <w:tcW w:w="2411" w:type="dxa"/>
            <w:tcBorders>
              <w:top w:val="nil"/>
              <w:left w:val="single" w:sz="4" w:space="0" w:color="000000"/>
              <w:bottom w:val="single" w:sz="4" w:space="0" w:color="000000"/>
              <w:right w:val="single" w:sz="4" w:space="0" w:color="000000"/>
            </w:tcBorders>
            <w:shd w:val="clear" w:color="auto" w:fill="31849B"/>
            <w:tcMar>
              <w:top w:w="100" w:type="dxa"/>
              <w:left w:w="100" w:type="dxa"/>
              <w:bottom w:w="100" w:type="dxa"/>
              <w:right w:w="100" w:type="dxa"/>
            </w:tcMar>
            <w:vAlign w:val="center"/>
          </w:tcPr>
          <w:p w14:paraId="316E9342" w14:textId="77777777" w:rsidR="008A34AE" w:rsidRDefault="00F35562">
            <w:pPr>
              <w:widowControl w:val="0"/>
              <w:contextualSpacing w:val="0"/>
              <w:rPr>
                <w:color w:val="FFFFFF"/>
                <w:sz w:val="20"/>
                <w:szCs w:val="20"/>
              </w:rPr>
            </w:pPr>
            <w:r>
              <w:rPr>
                <w:color w:val="FFFFFF"/>
                <w:sz w:val="20"/>
                <w:szCs w:val="20"/>
              </w:rPr>
              <w:t>Guerrero</w:t>
            </w:r>
          </w:p>
        </w:tc>
        <w:tc>
          <w:tcPr>
            <w:tcW w:w="1984"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7A142A82" w14:textId="77777777" w:rsidR="008A34AE" w:rsidRDefault="00F35562">
            <w:pPr>
              <w:widowControl w:val="0"/>
              <w:contextualSpacing w:val="0"/>
              <w:jc w:val="center"/>
              <w:rPr>
                <w:color w:val="205968"/>
                <w:sz w:val="20"/>
                <w:szCs w:val="20"/>
              </w:rPr>
            </w:pPr>
            <w:r>
              <w:rPr>
                <w:color w:val="205968"/>
                <w:sz w:val="20"/>
                <w:szCs w:val="20"/>
              </w:rPr>
              <w:t>$3,779,440.00</w:t>
            </w:r>
          </w:p>
        </w:tc>
        <w:tc>
          <w:tcPr>
            <w:tcW w:w="1843"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72AFADC4" w14:textId="77777777" w:rsidR="008A34AE" w:rsidRDefault="00F35562">
            <w:pPr>
              <w:widowControl w:val="0"/>
              <w:contextualSpacing w:val="0"/>
              <w:jc w:val="center"/>
              <w:rPr>
                <w:color w:val="205968"/>
                <w:sz w:val="20"/>
                <w:szCs w:val="20"/>
              </w:rPr>
            </w:pPr>
            <w:r>
              <w:rPr>
                <w:color w:val="205968"/>
                <w:sz w:val="20"/>
                <w:szCs w:val="20"/>
              </w:rPr>
              <w:t>$2,722,138.00</w:t>
            </w:r>
          </w:p>
        </w:tc>
        <w:tc>
          <w:tcPr>
            <w:tcW w:w="2268"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58AA31D0" w14:textId="77777777" w:rsidR="008A34AE" w:rsidRDefault="00F35562">
            <w:pPr>
              <w:widowControl w:val="0"/>
              <w:contextualSpacing w:val="0"/>
              <w:jc w:val="center"/>
              <w:rPr>
                <w:color w:val="205968"/>
                <w:sz w:val="20"/>
                <w:szCs w:val="20"/>
              </w:rPr>
            </w:pPr>
            <w:r>
              <w:rPr>
                <w:color w:val="205968"/>
                <w:sz w:val="20"/>
                <w:szCs w:val="20"/>
              </w:rPr>
              <w:t>$6,501,578.00</w:t>
            </w:r>
          </w:p>
        </w:tc>
        <w:tc>
          <w:tcPr>
            <w:tcW w:w="1134"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1445CAE9" w14:textId="77777777" w:rsidR="008A34AE" w:rsidRDefault="00F35562">
            <w:pPr>
              <w:widowControl w:val="0"/>
              <w:contextualSpacing w:val="0"/>
              <w:jc w:val="center"/>
              <w:rPr>
                <w:color w:val="205968"/>
                <w:sz w:val="20"/>
                <w:szCs w:val="20"/>
              </w:rPr>
            </w:pPr>
            <w:r>
              <w:rPr>
                <w:color w:val="205968"/>
                <w:sz w:val="20"/>
                <w:szCs w:val="20"/>
              </w:rPr>
              <w:t>0.3</w:t>
            </w:r>
          </w:p>
        </w:tc>
      </w:tr>
      <w:tr w:rsidR="008A34AE" w14:paraId="6FF8AC8B" w14:textId="77777777">
        <w:trPr>
          <w:trHeight w:val="240"/>
        </w:trPr>
        <w:tc>
          <w:tcPr>
            <w:tcW w:w="2411" w:type="dxa"/>
            <w:tcBorders>
              <w:top w:val="nil"/>
              <w:left w:val="single" w:sz="4" w:space="0" w:color="000000"/>
              <w:bottom w:val="single" w:sz="4" w:space="0" w:color="000000"/>
              <w:right w:val="single" w:sz="4" w:space="0" w:color="000000"/>
            </w:tcBorders>
            <w:shd w:val="clear" w:color="auto" w:fill="31849B"/>
            <w:tcMar>
              <w:top w:w="100" w:type="dxa"/>
              <w:left w:w="100" w:type="dxa"/>
              <w:bottom w:w="100" w:type="dxa"/>
              <w:right w:w="100" w:type="dxa"/>
            </w:tcMar>
            <w:vAlign w:val="center"/>
          </w:tcPr>
          <w:p w14:paraId="37546DAE" w14:textId="77777777" w:rsidR="008A34AE" w:rsidRDefault="00F35562">
            <w:pPr>
              <w:widowControl w:val="0"/>
              <w:contextualSpacing w:val="0"/>
              <w:rPr>
                <w:color w:val="FFFFFF"/>
                <w:sz w:val="20"/>
                <w:szCs w:val="20"/>
              </w:rPr>
            </w:pPr>
            <w:r>
              <w:rPr>
                <w:color w:val="FFFFFF"/>
                <w:sz w:val="20"/>
                <w:szCs w:val="20"/>
              </w:rPr>
              <w:t>Morelos</w:t>
            </w:r>
          </w:p>
        </w:tc>
        <w:tc>
          <w:tcPr>
            <w:tcW w:w="1984"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3D007B56" w14:textId="77777777" w:rsidR="008A34AE" w:rsidRDefault="00F35562">
            <w:pPr>
              <w:widowControl w:val="0"/>
              <w:contextualSpacing w:val="0"/>
              <w:jc w:val="center"/>
              <w:rPr>
                <w:color w:val="205968"/>
                <w:sz w:val="20"/>
                <w:szCs w:val="20"/>
              </w:rPr>
            </w:pPr>
            <w:r>
              <w:rPr>
                <w:color w:val="205968"/>
                <w:sz w:val="20"/>
                <w:szCs w:val="20"/>
              </w:rPr>
              <w:t>$117,236,511.29</w:t>
            </w:r>
          </w:p>
        </w:tc>
        <w:tc>
          <w:tcPr>
            <w:tcW w:w="1843"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568864E3" w14:textId="77777777" w:rsidR="008A34AE" w:rsidRDefault="00F35562">
            <w:pPr>
              <w:widowControl w:val="0"/>
              <w:contextualSpacing w:val="0"/>
              <w:jc w:val="center"/>
              <w:rPr>
                <w:color w:val="205968"/>
                <w:sz w:val="20"/>
                <w:szCs w:val="20"/>
              </w:rPr>
            </w:pPr>
            <w:r>
              <w:rPr>
                <w:color w:val="205968"/>
                <w:sz w:val="20"/>
                <w:szCs w:val="20"/>
              </w:rPr>
              <w:t>$82,364,393.02</w:t>
            </w:r>
          </w:p>
        </w:tc>
        <w:tc>
          <w:tcPr>
            <w:tcW w:w="2268"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49933FB7" w14:textId="77777777" w:rsidR="008A34AE" w:rsidRDefault="00F35562">
            <w:pPr>
              <w:widowControl w:val="0"/>
              <w:contextualSpacing w:val="0"/>
              <w:jc w:val="center"/>
              <w:rPr>
                <w:color w:val="205968"/>
                <w:sz w:val="20"/>
                <w:szCs w:val="20"/>
              </w:rPr>
            </w:pPr>
            <w:r>
              <w:rPr>
                <w:color w:val="205968"/>
                <w:sz w:val="20"/>
                <w:szCs w:val="20"/>
              </w:rPr>
              <w:t>$199,600,904.31</w:t>
            </w:r>
          </w:p>
        </w:tc>
        <w:tc>
          <w:tcPr>
            <w:tcW w:w="1134"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310034DC" w14:textId="77777777" w:rsidR="008A34AE" w:rsidRDefault="00F35562">
            <w:pPr>
              <w:widowControl w:val="0"/>
              <w:contextualSpacing w:val="0"/>
              <w:jc w:val="center"/>
              <w:rPr>
                <w:color w:val="205968"/>
                <w:sz w:val="20"/>
                <w:szCs w:val="20"/>
              </w:rPr>
            </w:pPr>
            <w:r>
              <w:rPr>
                <w:color w:val="205968"/>
                <w:sz w:val="20"/>
                <w:szCs w:val="20"/>
              </w:rPr>
              <w:t>10.0</w:t>
            </w:r>
          </w:p>
        </w:tc>
      </w:tr>
      <w:tr w:rsidR="008A34AE" w14:paraId="64C2BCA8" w14:textId="77777777">
        <w:trPr>
          <w:trHeight w:val="200"/>
        </w:trPr>
        <w:tc>
          <w:tcPr>
            <w:tcW w:w="2411" w:type="dxa"/>
            <w:tcBorders>
              <w:top w:val="nil"/>
              <w:left w:val="single" w:sz="4" w:space="0" w:color="000000"/>
              <w:bottom w:val="single" w:sz="4" w:space="0" w:color="000000"/>
              <w:right w:val="single" w:sz="4" w:space="0" w:color="000000"/>
            </w:tcBorders>
            <w:shd w:val="clear" w:color="auto" w:fill="31849B"/>
            <w:tcMar>
              <w:top w:w="100" w:type="dxa"/>
              <w:left w:w="100" w:type="dxa"/>
              <w:bottom w:w="100" w:type="dxa"/>
              <w:right w:w="100" w:type="dxa"/>
            </w:tcMar>
            <w:vAlign w:val="center"/>
          </w:tcPr>
          <w:p w14:paraId="32003B6C" w14:textId="77777777" w:rsidR="008A34AE" w:rsidRDefault="00F35562">
            <w:pPr>
              <w:widowControl w:val="0"/>
              <w:contextualSpacing w:val="0"/>
              <w:rPr>
                <w:color w:val="FFFFFF"/>
                <w:sz w:val="20"/>
                <w:szCs w:val="20"/>
              </w:rPr>
            </w:pPr>
            <w:r>
              <w:rPr>
                <w:color w:val="FFFFFF"/>
                <w:sz w:val="20"/>
                <w:szCs w:val="20"/>
              </w:rPr>
              <w:t>Oaxaca</w:t>
            </w:r>
          </w:p>
        </w:tc>
        <w:tc>
          <w:tcPr>
            <w:tcW w:w="1984"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4DF45981" w14:textId="77777777" w:rsidR="008A34AE" w:rsidRDefault="00F35562">
            <w:pPr>
              <w:widowControl w:val="0"/>
              <w:contextualSpacing w:val="0"/>
              <w:jc w:val="center"/>
              <w:rPr>
                <w:color w:val="205968"/>
                <w:sz w:val="20"/>
                <w:szCs w:val="20"/>
              </w:rPr>
            </w:pPr>
            <w:r>
              <w:rPr>
                <w:color w:val="205968"/>
                <w:sz w:val="20"/>
                <w:szCs w:val="20"/>
              </w:rPr>
              <w:t>$149,159,492.85</w:t>
            </w:r>
          </w:p>
        </w:tc>
        <w:tc>
          <w:tcPr>
            <w:tcW w:w="1843"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321A7757" w14:textId="77777777" w:rsidR="008A34AE" w:rsidRDefault="00F35562">
            <w:pPr>
              <w:widowControl w:val="0"/>
              <w:contextualSpacing w:val="0"/>
              <w:jc w:val="center"/>
              <w:rPr>
                <w:color w:val="205968"/>
                <w:sz w:val="20"/>
                <w:szCs w:val="20"/>
              </w:rPr>
            </w:pPr>
            <w:r>
              <w:rPr>
                <w:color w:val="205968"/>
                <w:sz w:val="20"/>
                <w:szCs w:val="20"/>
              </w:rPr>
              <w:t>$245,562,904.37</w:t>
            </w:r>
          </w:p>
        </w:tc>
        <w:tc>
          <w:tcPr>
            <w:tcW w:w="2268"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3C611767" w14:textId="77777777" w:rsidR="008A34AE" w:rsidRDefault="00F35562">
            <w:pPr>
              <w:widowControl w:val="0"/>
              <w:contextualSpacing w:val="0"/>
              <w:jc w:val="center"/>
              <w:rPr>
                <w:color w:val="205968"/>
                <w:sz w:val="20"/>
                <w:szCs w:val="20"/>
              </w:rPr>
            </w:pPr>
            <w:r>
              <w:rPr>
                <w:color w:val="205968"/>
                <w:sz w:val="20"/>
                <w:szCs w:val="20"/>
              </w:rPr>
              <w:t>$394,722,397.22</w:t>
            </w:r>
          </w:p>
        </w:tc>
        <w:tc>
          <w:tcPr>
            <w:tcW w:w="1134"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73CB993D" w14:textId="77777777" w:rsidR="008A34AE" w:rsidRDefault="00F35562">
            <w:pPr>
              <w:widowControl w:val="0"/>
              <w:contextualSpacing w:val="0"/>
              <w:jc w:val="center"/>
              <w:rPr>
                <w:color w:val="205968"/>
                <w:sz w:val="20"/>
                <w:szCs w:val="20"/>
              </w:rPr>
            </w:pPr>
            <w:r>
              <w:rPr>
                <w:color w:val="205968"/>
                <w:sz w:val="20"/>
                <w:szCs w:val="20"/>
              </w:rPr>
              <w:t>19.8</w:t>
            </w:r>
          </w:p>
        </w:tc>
      </w:tr>
      <w:tr w:rsidR="008A34AE" w14:paraId="12BAFC1C" w14:textId="77777777">
        <w:trPr>
          <w:trHeight w:val="180"/>
        </w:trPr>
        <w:tc>
          <w:tcPr>
            <w:tcW w:w="2411" w:type="dxa"/>
            <w:tcBorders>
              <w:top w:val="nil"/>
              <w:left w:val="single" w:sz="4" w:space="0" w:color="000000"/>
              <w:bottom w:val="single" w:sz="4" w:space="0" w:color="000000"/>
              <w:right w:val="single" w:sz="4" w:space="0" w:color="000000"/>
            </w:tcBorders>
            <w:shd w:val="clear" w:color="auto" w:fill="31849B"/>
            <w:tcMar>
              <w:top w:w="100" w:type="dxa"/>
              <w:left w:w="100" w:type="dxa"/>
              <w:bottom w:w="100" w:type="dxa"/>
              <w:right w:w="100" w:type="dxa"/>
            </w:tcMar>
            <w:vAlign w:val="center"/>
          </w:tcPr>
          <w:p w14:paraId="1DCC70D8" w14:textId="77777777" w:rsidR="008A34AE" w:rsidRDefault="00F35562">
            <w:pPr>
              <w:widowControl w:val="0"/>
              <w:contextualSpacing w:val="0"/>
              <w:rPr>
                <w:color w:val="FFFFFF"/>
                <w:sz w:val="20"/>
                <w:szCs w:val="20"/>
              </w:rPr>
            </w:pPr>
            <w:r>
              <w:rPr>
                <w:color w:val="FFFFFF"/>
                <w:sz w:val="20"/>
                <w:szCs w:val="20"/>
              </w:rPr>
              <w:t>Puebla</w:t>
            </w:r>
          </w:p>
        </w:tc>
        <w:tc>
          <w:tcPr>
            <w:tcW w:w="1984"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4711D2F4" w14:textId="77777777" w:rsidR="008A34AE" w:rsidRDefault="00F35562">
            <w:pPr>
              <w:widowControl w:val="0"/>
              <w:contextualSpacing w:val="0"/>
              <w:jc w:val="center"/>
              <w:rPr>
                <w:color w:val="205968"/>
                <w:sz w:val="20"/>
                <w:szCs w:val="20"/>
              </w:rPr>
            </w:pPr>
            <w:r>
              <w:rPr>
                <w:color w:val="205968"/>
                <w:sz w:val="20"/>
                <w:szCs w:val="20"/>
              </w:rPr>
              <w:t>$42,008,191.68</w:t>
            </w:r>
          </w:p>
        </w:tc>
        <w:tc>
          <w:tcPr>
            <w:tcW w:w="1843"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11D6B53B" w14:textId="77777777" w:rsidR="008A34AE" w:rsidRDefault="00F35562">
            <w:pPr>
              <w:widowControl w:val="0"/>
              <w:contextualSpacing w:val="0"/>
              <w:jc w:val="center"/>
              <w:rPr>
                <w:color w:val="205968"/>
                <w:sz w:val="20"/>
                <w:szCs w:val="20"/>
              </w:rPr>
            </w:pPr>
            <w:r>
              <w:rPr>
                <w:color w:val="205968"/>
                <w:sz w:val="20"/>
                <w:szCs w:val="20"/>
              </w:rPr>
              <w:t>$26,664,482.21</w:t>
            </w:r>
          </w:p>
        </w:tc>
        <w:tc>
          <w:tcPr>
            <w:tcW w:w="2268"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74F3630F" w14:textId="77777777" w:rsidR="008A34AE" w:rsidRDefault="00F35562">
            <w:pPr>
              <w:widowControl w:val="0"/>
              <w:contextualSpacing w:val="0"/>
              <w:jc w:val="center"/>
              <w:rPr>
                <w:color w:val="205968"/>
                <w:sz w:val="20"/>
                <w:szCs w:val="20"/>
              </w:rPr>
            </w:pPr>
            <w:r>
              <w:rPr>
                <w:color w:val="205968"/>
                <w:sz w:val="20"/>
                <w:szCs w:val="20"/>
              </w:rPr>
              <w:t>$68,672,673.89</w:t>
            </w:r>
          </w:p>
        </w:tc>
        <w:tc>
          <w:tcPr>
            <w:tcW w:w="1134"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382C335B" w14:textId="77777777" w:rsidR="008A34AE" w:rsidRDefault="00F35562">
            <w:pPr>
              <w:widowControl w:val="0"/>
              <w:contextualSpacing w:val="0"/>
              <w:jc w:val="center"/>
              <w:rPr>
                <w:color w:val="205968"/>
                <w:sz w:val="20"/>
                <w:szCs w:val="20"/>
              </w:rPr>
            </w:pPr>
            <w:r>
              <w:rPr>
                <w:color w:val="205968"/>
                <w:sz w:val="20"/>
                <w:szCs w:val="20"/>
              </w:rPr>
              <w:t>3.4</w:t>
            </w:r>
          </w:p>
        </w:tc>
      </w:tr>
      <w:tr w:rsidR="008A34AE" w14:paraId="41541997" w14:textId="77777777">
        <w:trPr>
          <w:trHeight w:val="260"/>
        </w:trPr>
        <w:tc>
          <w:tcPr>
            <w:tcW w:w="2411" w:type="dxa"/>
            <w:tcBorders>
              <w:top w:val="nil"/>
              <w:left w:val="single" w:sz="4" w:space="0" w:color="000000"/>
              <w:bottom w:val="single" w:sz="4" w:space="0" w:color="000000"/>
              <w:right w:val="single" w:sz="4" w:space="0" w:color="000000"/>
            </w:tcBorders>
            <w:shd w:val="clear" w:color="auto" w:fill="31849B"/>
            <w:tcMar>
              <w:top w:w="100" w:type="dxa"/>
              <w:left w:w="100" w:type="dxa"/>
              <w:bottom w:w="100" w:type="dxa"/>
              <w:right w:w="100" w:type="dxa"/>
            </w:tcMar>
            <w:vAlign w:val="center"/>
          </w:tcPr>
          <w:p w14:paraId="2A666DAE" w14:textId="77777777" w:rsidR="008A34AE" w:rsidRDefault="00F35562">
            <w:pPr>
              <w:widowControl w:val="0"/>
              <w:contextualSpacing w:val="0"/>
              <w:rPr>
                <w:color w:val="FFFFFF"/>
                <w:sz w:val="20"/>
                <w:szCs w:val="20"/>
              </w:rPr>
            </w:pPr>
            <w:r>
              <w:rPr>
                <w:color w:val="FFFFFF"/>
                <w:sz w:val="20"/>
                <w:szCs w:val="20"/>
              </w:rPr>
              <w:t>Tlaxcala</w:t>
            </w:r>
          </w:p>
        </w:tc>
        <w:tc>
          <w:tcPr>
            <w:tcW w:w="1984"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368A65D5" w14:textId="77777777" w:rsidR="008A34AE" w:rsidRDefault="00F35562">
            <w:pPr>
              <w:widowControl w:val="0"/>
              <w:contextualSpacing w:val="0"/>
              <w:jc w:val="center"/>
              <w:rPr>
                <w:color w:val="205968"/>
                <w:sz w:val="20"/>
                <w:szCs w:val="20"/>
              </w:rPr>
            </w:pPr>
            <w:r>
              <w:rPr>
                <w:color w:val="205968"/>
                <w:sz w:val="20"/>
                <w:szCs w:val="20"/>
              </w:rPr>
              <w:t>$4,168,669.00</w:t>
            </w:r>
          </w:p>
        </w:tc>
        <w:tc>
          <w:tcPr>
            <w:tcW w:w="1843"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76716A00" w14:textId="77777777" w:rsidR="008A34AE" w:rsidRDefault="00F35562">
            <w:pPr>
              <w:widowControl w:val="0"/>
              <w:contextualSpacing w:val="0"/>
              <w:jc w:val="center"/>
              <w:rPr>
                <w:color w:val="205968"/>
                <w:sz w:val="20"/>
                <w:szCs w:val="20"/>
              </w:rPr>
            </w:pPr>
            <w:r>
              <w:rPr>
                <w:color w:val="205968"/>
                <w:sz w:val="20"/>
                <w:szCs w:val="20"/>
              </w:rPr>
              <w:t>$542,232.00</w:t>
            </w:r>
          </w:p>
        </w:tc>
        <w:tc>
          <w:tcPr>
            <w:tcW w:w="2268"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77FC8918" w14:textId="77777777" w:rsidR="008A34AE" w:rsidRDefault="00F35562">
            <w:pPr>
              <w:widowControl w:val="0"/>
              <w:contextualSpacing w:val="0"/>
              <w:jc w:val="center"/>
              <w:rPr>
                <w:color w:val="205968"/>
                <w:sz w:val="20"/>
                <w:szCs w:val="20"/>
              </w:rPr>
            </w:pPr>
            <w:r>
              <w:rPr>
                <w:color w:val="205968"/>
                <w:sz w:val="20"/>
                <w:szCs w:val="20"/>
              </w:rPr>
              <w:t>$4,710,901.00</w:t>
            </w:r>
          </w:p>
        </w:tc>
        <w:tc>
          <w:tcPr>
            <w:tcW w:w="1134"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2E244ABE" w14:textId="77777777" w:rsidR="008A34AE" w:rsidRDefault="00F35562">
            <w:pPr>
              <w:widowControl w:val="0"/>
              <w:contextualSpacing w:val="0"/>
              <w:jc w:val="center"/>
              <w:rPr>
                <w:color w:val="205968"/>
                <w:sz w:val="20"/>
                <w:szCs w:val="20"/>
              </w:rPr>
            </w:pPr>
            <w:r>
              <w:rPr>
                <w:color w:val="205968"/>
                <w:sz w:val="20"/>
                <w:szCs w:val="20"/>
              </w:rPr>
              <w:t>0.2</w:t>
            </w:r>
          </w:p>
        </w:tc>
      </w:tr>
      <w:tr w:rsidR="008A34AE" w14:paraId="094F899C" w14:textId="77777777">
        <w:trPr>
          <w:trHeight w:val="500"/>
        </w:trPr>
        <w:tc>
          <w:tcPr>
            <w:tcW w:w="2411" w:type="dxa"/>
            <w:tcBorders>
              <w:top w:val="nil"/>
              <w:left w:val="single" w:sz="4" w:space="0" w:color="000000"/>
              <w:bottom w:val="single" w:sz="4" w:space="0" w:color="000000"/>
              <w:right w:val="single" w:sz="4" w:space="0" w:color="000000"/>
            </w:tcBorders>
            <w:shd w:val="clear" w:color="auto" w:fill="31849B"/>
            <w:tcMar>
              <w:top w:w="100" w:type="dxa"/>
              <w:left w:w="100" w:type="dxa"/>
              <w:bottom w:w="100" w:type="dxa"/>
              <w:right w:w="100" w:type="dxa"/>
            </w:tcMar>
            <w:vAlign w:val="center"/>
          </w:tcPr>
          <w:p w14:paraId="52668308" w14:textId="77777777" w:rsidR="008A34AE" w:rsidRDefault="00F35562">
            <w:pPr>
              <w:widowControl w:val="0"/>
              <w:contextualSpacing w:val="0"/>
              <w:rPr>
                <w:color w:val="FFFFFF"/>
                <w:sz w:val="20"/>
                <w:szCs w:val="20"/>
              </w:rPr>
            </w:pPr>
            <w:r>
              <w:rPr>
                <w:color w:val="FFFFFF"/>
                <w:sz w:val="20"/>
                <w:szCs w:val="20"/>
              </w:rPr>
              <w:t xml:space="preserve">No disponible (Recursos entregados </w:t>
            </w:r>
            <w:r w:rsidR="00695337">
              <w:rPr>
                <w:color w:val="FFFFFF"/>
                <w:sz w:val="20"/>
                <w:szCs w:val="20"/>
              </w:rPr>
              <w:t xml:space="preserve">a </w:t>
            </w:r>
            <w:r>
              <w:rPr>
                <w:color w:val="FFFFFF"/>
                <w:sz w:val="20"/>
                <w:szCs w:val="20"/>
              </w:rPr>
              <w:t>otras donatarias)</w:t>
            </w:r>
          </w:p>
        </w:tc>
        <w:tc>
          <w:tcPr>
            <w:tcW w:w="1984"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41BDA731" w14:textId="77777777" w:rsidR="008A34AE" w:rsidRDefault="00F35562">
            <w:pPr>
              <w:widowControl w:val="0"/>
              <w:contextualSpacing w:val="0"/>
              <w:jc w:val="center"/>
              <w:rPr>
                <w:color w:val="205968"/>
                <w:sz w:val="20"/>
                <w:szCs w:val="20"/>
              </w:rPr>
            </w:pPr>
            <w:r>
              <w:rPr>
                <w:color w:val="205968"/>
                <w:sz w:val="20"/>
                <w:szCs w:val="20"/>
              </w:rPr>
              <w:t>$617,766,528.48</w:t>
            </w:r>
          </w:p>
        </w:tc>
        <w:tc>
          <w:tcPr>
            <w:tcW w:w="1843"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23C3E21D" w14:textId="77777777" w:rsidR="008A34AE" w:rsidRDefault="00F35562">
            <w:pPr>
              <w:widowControl w:val="0"/>
              <w:contextualSpacing w:val="0"/>
              <w:jc w:val="center"/>
              <w:rPr>
                <w:color w:val="205968"/>
                <w:sz w:val="20"/>
                <w:szCs w:val="20"/>
              </w:rPr>
            </w:pPr>
            <w:r>
              <w:rPr>
                <w:color w:val="205968"/>
                <w:sz w:val="20"/>
                <w:szCs w:val="20"/>
              </w:rPr>
              <w:t>$211,850,950.40</w:t>
            </w:r>
          </w:p>
        </w:tc>
        <w:tc>
          <w:tcPr>
            <w:tcW w:w="2268"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2CC627D0" w14:textId="77777777" w:rsidR="008A34AE" w:rsidRDefault="00F35562">
            <w:pPr>
              <w:widowControl w:val="0"/>
              <w:contextualSpacing w:val="0"/>
              <w:jc w:val="center"/>
              <w:rPr>
                <w:color w:val="205968"/>
                <w:sz w:val="20"/>
                <w:szCs w:val="20"/>
              </w:rPr>
            </w:pPr>
            <w:r>
              <w:rPr>
                <w:color w:val="205968"/>
                <w:sz w:val="20"/>
                <w:szCs w:val="20"/>
              </w:rPr>
              <w:t>$829,617,478.88</w:t>
            </w:r>
          </w:p>
        </w:tc>
        <w:tc>
          <w:tcPr>
            <w:tcW w:w="1134"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48F20FA8" w14:textId="77777777" w:rsidR="008A34AE" w:rsidRDefault="00F35562">
            <w:pPr>
              <w:widowControl w:val="0"/>
              <w:contextualSpacing w:val="0"/>
              <w:jc w:val="center"/>
              <w:rPr>
                <w:color w:val="205968"/>
                <w:sz w:val="20"/>
                <w:szCs w:val="20"/>
              </w:rPr>
            </w:pPr>
            <w:r>
              <w:rPr>
                <w:color w:val="205968"/>
                <w:sz w:val="20"/>
                <w:szCs w:val="20"/>
              </w:rPr>
              <w:t>41.6</w:t>
            </w:r>
          </w:p>
        </w:tc>
      </w:tr>
      <w:tr w:rsidR="008A34AE" w14:paraId="237BBF76" w14:textId="77777777">
        <w:trPr>
          <w:trHeight w:val="200"/>
        </w:trPr>
        <w:tc>
          <w:tcPr>
            <w:tcW w:w="2411" w:type="dxa"/>
            <w:tcBorders>
              <w:top w:val="single" w:sz="4" w:space="0" w:color="000000"/>
              <w:left w:val="single" w:sz="4" w:space="0" w:color="000000"/>
              <w:bottom w:val="single" w:sz="4" w:space="0" w:color="000000"/>
              <w:right w:val="single" w:sz="4" w:space="0" w:color="000000"/>
            </w:tcBorders>
            <w:shd w:val="clear" w:color="auto" w:fill="205968"/>
            <w:tcMar>
              <w:top w:w="100" w:type="dxa"/>
              <w:left w:w="100" w:type="dxa"/>
              <w:bottom w:w="100" w:type="dxa"/>
              <w:right w:w="100" w:type="dxa"/>
            </w:tcMar>
            <w:vAlign w:val="center"/>
          </w:tcPr>
          <w:p w14:paraId="4B5ED686" w14:textId="77777777" w:rsidR="008A34AE" w:rsidRDefault="00F35562">
            <w:pPr>
              <w:widowControl w:val="0"/>
              <w:contextualSpacing w:val="0"/>
              <w:rPr>
                <w:b/>
                <w:color w:val="FFFFFF"/>
                <w:sz w:val="20"/>
                <w:szCs w:val="20"/>
              </w:rPr>
            </w:pPr>
            <w:r>
              <w:rPr>
                <w:b/>
                <w:color w:val="FFFFFF"/>
                <w:sz w:val="20"/>
                <w:szCs w:val="20"/>
              </w:rPr>
              <w:t>Total general</w:t>
            </w:r>
          </w:p>
        </w:tc>
        <w:tc>
          <w:tcPr>
            <w:tcW w:w="1984" w:type="dxa"/>
            <w:tcBorders>
              <w:top w:val="single" w:sz="4" w:space="0" w:color="000000"/>
              <w:left w:val="single" w:sz="4" w:space="0" w:color="000000"/>
              <w:bottom w:val="single" w:sz="4" w:space="0" w:color="000000"/>
              <w:right w:val="single" w:sz="4" w:space="0" w:color="000000"/>
            </w:tcBorders>
            <w:shd w:val="clear" w:color="auto" w:fill="205968"/>
            <w:tcMar>
              <w:top w:w="100" w:type="dxa"/>
              <w:left w:w="100" w:type="dxa"/>
              <w:bottom w:w="100" w:type="dxa"/>
              <w:right w:w="100" w:type="dxa"/>
            </w:tcMar>
          </w:tcPr>
          <w:p w14:paraId="1058BD02" w14:textId="77777777" w:rsidR="008A34AE" w:rsidRDefault="00F35562">
            <w:pPr>
              <w:widowControl w:val="0"/>
              <w:contextualSpacing w:val="0"/>
              <w:jc w:val="center"/>
              <w:rPr>
                <w:b/>
                <w:color w:val="FFFFFF"/>
                <w:sz w:val="20"/>
                <w:szCs w:val="20"/>
              </w:rPr>
            </w:pPr>
            <w:r>
              <w:rPr>
                <w:b/>
                <w:color w:val="FFFFFF"/>
                <w:sz w:val="20"/>
                <w:szCs w:val="20"/>
              </w:rPr>
              <w:t>$1,142,810,831.01</w:t>
            </w:r>
          </w:p>
        </w:tc>
        <w:tc>
          <w:tcPr>
            <w:tcW w:w="1843" w:type="dxa"/>
            <w:tcBorders>
              <w:top w:val="single" w:sz="4" w:space="0" w:color="000000"/>
              <w:left w:val="single" w:sz="4" w:space="0" w:color="000000"/>
              <w:bottom w:val="single" w:sz="4" w:space="0" w:color="000000"/>
              <w:right w:val="single" w:sz="4" w:space="0" w:color="000000"/>
            </w:tcBorders>
            <w:shd w:val="clear" w:color="auto" w:fill="205968"/>
            <w:tcMar>
              <w:top w:w="100" w:type="dxa"/>
              <w:left w:w="100" w:type="dxa"/>
              <w:bottom w:w="100" w:type="dxa"/>
              <w:right w:w="100" w:type="dxa"/>
            </w:tcMar>
          </w:tcPr>
          <w:p w14:paraId="37579F8A" w14:textId="77777777" w:rsidR="008A34AE" w:rsidRDefault="00F35562">
            <w:pPr>
              <w:widowControl w:val="0"/>
              <w:contextualSpacing w:val="0"/>
              <w:jc w:val="center"/>
              <w:rPr>
                <w:b/>
                <w:color w:val="FFFFFF"/>
                <w:sz w:val="20"/>
                <w:szCs w:val="20"/>
              </w:rPr>
            </w:pPr>
            <w:r>
              <w:rPr>
                <w:b/>
                <w:color w:val="FFFFFF"/>
                <w:sz w:val="20"/>
                <w:szCs w:val="20"/>
              </w:rPr>
              <w:t xml:space="preserve"> $851,333,127.99</w:t>
            </w:r>
          </w:p>
        </w:tc>
        <w:tc>
          <w:tcPr>
            <w:tcW w:w="2268" w:type="dxa"/>
            <w:tcBorders>
              <w:top w:val="nil"/>
              <w:left w:val="nil"/>
              <w:bottom w:val="single" w:sz="4" w:space="0" w:color="000000"/>
              <w:right w:val="single" w:sz="4" w:space="0" w:color="000000"/>
            </w:tcBorders>
            <w:shd w:val="clear" w:color="auto" w:fill="205968"/>
            <w:tcMar>
              <w:top w:w="100" w:type="dxa"/>
              <w:left w:w="100" w:type="dxa"/>
              <w:bottom w:w="100" w:type="dxa"/>
              <w:right w:w="100" w:type="dxa"/>
            </w:tcMar>
          </w:tcPr>
          <w:p w14:paraId="3790323F" w14:textId="77777777" w:rsidR="008A34AE" w:rsidRDefault="00F35562">
            <w:pPr>
              <w:widowControl w:val="0"/>
              <w:contextualSpacing w:val="0"/>
              <w:jc w:val="center"/>
              <w:rPr>
                <w:b/>
                <w:color w:val="FFFFFF"/>
                <w:sz w:val="20"/>
                <w:szCs w:val="20"/>
              </w:rPr>
            </w:pPr>
            <w:r>
              <w:rPr>
                <w:b/>
                <w:color w:val="FFFFFF"/>
                <w:sz w:val="20"/>
                <w:szCs w:val="20"/>
              </w:rPr>
              <w:t xml:space="preserve"> $1,994,143,959.00</w:t>
            </w:r>
          </w:p>
        </w:tc>
        <w:tc>
          <w:tcPr>
            <w:tcW w:w="1134" w:type="dxa"/>
            <w:tcBorders>
              <w:top w:val="nil"/>
              <w:left w:val="nil"/>
              <w:bottom w:val="single" w:sz="4" w:space="0" w:color="000000"/>
              <w:right w:val="single" w:sz="4" w:space="0" w:color="000000"/>
            </w:tcBorders>
            <w:shd w:val="clear" w:color="auto" w:fill="205968"/>
            <w:tcMar>
              <w:top w:w="100" w:type="dxa"/>
              <w:left w:w="100" w:type="dxa"/>
              <w:bottom w:w="100" w:type="dxa"/>
              <w:right w:w="100" w:type="dxa"/>
            </w:tcMar>
          </w:tcPr>
          <w:p w14:paraId="31E46ECF" w14:textId="77777777" w:rsidR="008A34AE" w:rsidRDefault="00F35562">
            <w:pPr>
              <w:widowControl w:val="0"/>
              <w:contextualSpacing w:val="0"/>
              <w:jc w:val="center"/>
              <w:rPr>
                <w:b/>
                <w:color w:val="FFFFFF"/>
                <w:sz w:val="20"/>
                <w:szCs w:val="20"/>
              </w:rPr>
            </w:pPr>
            <w:r>
              <w:rPr>
                <w:b/>
                <w:color w:val="FFFFFF"/>
                <w:sz w:val="20"/>
                <w:szCs w:val="20"/>
              </w:rPr>
              <w:t>100.0</w:t>
            </w:r>
          </w:p>
        </w:tc>
      </w:tr>
    </w:tbl>
    <w:p w14:paraId="5D6CD78D" w14:textId="77777777" w:rsidR="008A34AE" w:rsidRDefault="00F35562">
      <w:pPr>
        <w:contextualSpacing w:val="0"/>
        <w:jc w:val="both"/>
        <w:rPr>
          <w:color w:val="595959"/>
          <w:sz w:val="16"/>
          <w:szCs w:val="16"/>
        </w:rPr>
      </w:pPr>
      <w:r>
        <w:rPr>
          <w:b/>
          <w:color w:val="595959"/>
          <w:sz w:val="16"/>
          <w:szCs w:val="16"/>
        </w:rPr>
        <w:t>Fuente</w:t>
      </w:r>
      <w:r>
        <w:rPr>
          <w:color w:val="595959"/>
          <w:sz w:val="16"/>
          <w:szCs w:val="16"/>
        </w:rPr>
        <w:t>: Elaboración propia con datos de la base publicada por el SAT al 31 de mayo de 2018, consultada el 6 de septiembre de 2018</w:t>
      </w:r>
      <w:r w:rsidR="00695337">
        <w:rPr>
          <w:color w:val="595959"/>
          <w:sz w:val="16"/>
          <w:szCs w:val="16"/>
        </w:rPr>
        <w:t>.</w:t>
      </w:r>
    </w:p>
    <w:p w14:paraId="33961337" w14:textId="77777777" w:rsidR="008A34AE" w:rsidRDefault="008A34AE">
      <w:pPr>
        <w:contextualSpacing w:val="0"/>
        <w:jc w:val="both"/>
        <w:rPr>
          <w:color w:val="0000FF"/>
        </w:rPr>
      </w:pPr>
    </w:p>
    <w:p w14:paraId="1F6BFA67" w14:textId="77777777" w:rsidR="008A34AE" w:rsidRDefault="00F35562">
      <w:pPr>
        <w:contextualSpacing w:val="0"/>
        <w:jc w:val="both"/>
        <w:rPr>
          <w:color w:val="595959"/>
        </w:rPr>
      </w:pPr>
      <w:r>
        <w:rPr>
          <w:color w:val="595959"/>
        </w:rPr>
        <w:lastRenderedPageBreak/>
        <w:t>Cabe señalar que, de la totalidad de los recursos ejercidos, se han canalizado 41.6% de los recursos a otras donatarias, por lo que no es posible conocer el destino de dich</w:t>
      </w:r>
      <w:r w:rsidR="00695337">
        <w:rPr>
          <w:color w:val="595959"/>
        </w:rPr>
        <w:t>a</w:t>
      </w:r>
      <w:r>
        <w:rPr>
          <w:color w:val="595959"/>
        </w:rPr>
        <w:t xml:space="preserve">s </w:t>
      </w:r>
      <w:r w:rsidR="00695337">
        <w:rPr>
          <w:color w:val="595959"/>
        </w:rPr>
        <w:t>cifras</w:t>
      </w:r>
      <w:r>
        <w:rPr>
          <w:color w:val="595959"/>
        </w:rPr>
        <w:t xml:space="preserve"> a menos que cada una de las donatarias receptoras lo hiciera público y en una sola plataforma.</w:t>
      </w:r>
    </w:p>
    <w:p w14:paraId="0C71F798" w14:textId="77777777" w:rsidR="008A34AE" w:rsidRDefault="00F35562" w:rsidP="00F80677">
      <w:pPr>
        <w:pStyle w:val="Ttulo2"/>
      </w:pPr>
      <w:bookmarkStart w:id="17" w:name="_Toc524361294"/>
      <w:r>
        <w:t>Distribución de los recursos por sector beneficiado y tipo de apoyo</w:t>
      </w:r>
      <w:bookmarkEnd w:id="17"/>
    </w:p>
    <w:p w14:paraId="0B344236" w14:textId="77777777" w:rsidR="008A34AE" w:rsidRDefault="00F35562">
      <w:pPr>
        <w:contextualSpacing w:val="0"/>
        <w:jc w:val="both"/>
        <w:rPr>
          <w:color w:val="595959"/>
        </w:rPr>
      </w:pPr>
      <w:r>
        <w:rPr>
          <w:color w:val="595959"/>
        </w:rPr>
        <w:t xml:space="preserve">Existen tres tipos de sectores que fueron beneficiados al ejercerse los recursos donados: el </w:t>
      </w:r>
      <w:r w:rsidR="00695337">
        <w:rPr>
          <w:color w:val="595959"/>
        </w:rPr>
        <w:t>S</w:t>
      </w:r>
      <w:r>
        <w:rPr>
          <w:color w:val="595959"/>
        </w:rPr>
        <w:t xml:space="preserve">ector público, las </w:t>
      </w:r>
      <w:r w:rsidR="00695337">
        <w:rPr>
          <w:color w:val="595959"/>
        </w:rPr>
        <w:t>D</w:t>
      </w:r>
      <w:r>
        <w:rPr>
          <w:color w:val="595959"/>
        </w:rPr>
        <w:t xml:space="preserve">onatarias autorizadas y </w:t>
      </w:r>
      <w:r w:rsidR="00695337">
        <w:rPr>
          <w:color w:val="595959"/>
        </w:rPr>
        <w:t>O</w:t>
      </w:r>
      <w:r>
        <w:rPr>
          <w:color w:val="595959"/>
        </w:rPr>
        <w:t xml:space="preserve">tros. </w:t>
      </w:r>
      <w:r w:rsidRPr="00ED16E8">
        <w:rPr>
          <w:color w:val="595959"/>
        </w:rPr>
        <w:t xml:space="preserve">Sector público </w:t>
      </w:r>
      <w:r>
        <w:rPr>
          <w:color w:val="595959"/>
        </w:rPr>
        <w:t xml:space="preserve">se refiere a instituciones estatales a quienes las donatarias autorizadas entregaron recursos en efectivo o en especie. </w:t>
      </w:r>
    </w:p>
    <w:p w14:paraId="6EDCC9BC" w14:textId="2935287C" w:rsidR="008A34AE" w:rsidRDefault="00F35562">
      <w:pPr>
        <w:ind w:firstLine="720"/>
        <w:contextualSpacing w:val="0"/>
        <w:jc w:val="both"/>
        <w:rPr>
          <w:color w:val="595959"/>
        </w:rPr>
      </w:pPr>
      <w:r>
        <w:rPr>
          <w:color w:val="595959"/>
        </w:rPr>
        <w:t xml:space="preserve">Por otro lado, </w:t>
      </w:r>
      <w:r w:rsidRPr="00FB1F89">
        <w:rPr>
          <w:color w:val="595959"/>
        </w:rPr>
        <w:t>Donatarias autorizadas</w:t>
      </w:r>
      <w:r>
        <w:rPr>
          <w:color w:val="595959"/>
        </w:rPr>
        <w:t xml:space="preserve"> </w:t>
      </w:r>
      <w:r w:rsidR="00695337">
        <w:rPr>
          <w:color w:val="595959"/>
        </w:rPr>
        <w:t>son</w:t>
      </w:r>
      <w:r>
        <w:rPr>
          <w:color w:val="595959"/>
        </w:rPr>
        <w:t xml:space="preserve"> los recursos que</w:t>
      </w:r>
      <w:r w:rsidR="000B244C">
        <w:rPr>
          <w:color w:val="595959"/>
        </w:rPr>
        <w:t xml:space="preserve"> se percibieron cuando los donativos que ingresaron a ciertas donatarias se trasladaron a otras</w:t>
      </w:r>
      <w:r>
        <w:rPr>
          <w:color w:val="595959"/>
        </w:rPr>
        <w:t xml:space="preserve"> autorizadas para que éstas los ejercieran </w:t>
      </w:r>
      <w:r w:rsidR="00695337">
        <w:rPr>
          <w:color w:val="595959"/>
        </w:rPr>
        <w:t>con</w:t>
      </w:r>
      <w:r>
        <w:rPr>
          <w:color w:val="595959"/>
        </w:rPr>
        <w:t xml:space="preserve"> distintas finalidades. </w:t>
      </w:r>
    </w:p>
    <w:p w14:paraId="27343360" w14:textId="77777777" w:rsidR="008A34AE" w:rsidRDefault="00F35562">
      <w:pPr>
        <w:ind w:firstLine="720"/>
        <w:contextualSpacing w:val="0"/>
        <w:jc w:val="both"/>
        <w:rPr>
          <w:color w:val="595959"/>
        </w:rPr>
      </w:pPr>
      <w:r>
        <w:rPr>
          <w:color w:val="595959"/>
        </w:rPr>
        <w:t xml:space="preserve">Asimismo, </w:t>
      </w:r>
      <w:r w:rsidRPr="00ED16E8">
        <w:rPr>
          <w:color w:val="595959"/>
        </w:rPr>
        <w:t>Otros</w:t>
      </w:r>
      <w:r>
        <w:rPr>
          <w:color w:val="595959"/>
        </w:rPr>
        <w:t xml:space="preserve"> incluye a personas, familias, escuelas, centros de acopio e incluso entidades públicas que no fueron incluidas en los conceptos </w:t>
      </w:r>
      <w:r w:rsidR="00695337">
        <w:rPr>
          <w:color w:val="595959"/>
        </w:rPr>
        <w:t>S</w:t>
      </w:r>
      <w:r>
        <w:rPr>
          <w:color w:val="595959"/>
        </w:rPr>
        <w:t xml:space="preserve">ector público o </w:t>
      </w:r>
      <w:r w:rsidR="00695337">
        <w:rPr>
          <w:color w:val="595959"/>
        </w:rPr>
        <w:t>D</w:t>
      </w:r>
      <w:r>
        <w:rPr>
          <w:color w:val="595959"/>
        </w:rPr>
        <w:t xml:space="preserve">onatarias autorizadas. Conforme a la base de datos proporcionada por el </w:t>
      </w:r>
      <w:r>
        <w:rPr>
          <w:color w:val="595959"/>
          <w:sz w:val="20"/>
          <w:szCs w:val="20"/>
        </w:rPr>
        <w:t>SAT</w:t>
      </w:r>
      <w:r>
        <w:rPr>
          <w:color w:val="595959"/>
        </w:rPr>
        <w:t>, cada uno de estos sectores ejerció los recursos donados de la siguiente forma:</w:t>
      </w:r>
    </w:p>
    <w:p w14:paraId="18A3A9F1" w14:textId="77777777" w:rsidR="008A34AE" w:rsidRDefault="008A34AE">
      <w:pPr>
        <w:contextualSpacing w:val="0"/>
        <w:jc w:val="both"/>
        <w:rPr>
          <w:b/>
          <w:color w:val="595959"/>
        </w:rPr>
      </w:pPr>
    </w:p>
    <w:p w14:paraId="59BB41A4" w14:textId="77777777" w:rsidR="008A34AE" w:rsidRDefault="00F35562">
      <w:pPr>
        <w:contextualSpacing w:val="0"/>
        <w:jc w:val="center"/>
        <w:rPr>
          <w:color w:val="595959"/>
          <w:sz w:val="18"/>
          <w:szCs w:val="18"/>
        </w:rPr>
      </w:pPr>
      <w:r>
        <w:rPr>
          <w:b/>
          <w:color w:val="595959"/>
        </w:rPr>
        <w:t>Tabla 12. Distribución de los recursos por sector beneficiado</w:t>
      </w:r>
      <w:r w:rsidR="00695337">
        <w:rPr>
          <w:b/>
          <w:color w:val="595959"/>
        </w:rPr>
        <w:t>,</w:t>
      </w:r>
      <w:r>
        <w:rPr>
          <w:b/>
          <w:color w:val="595959"/>
        </w:rPr>
        <w:t xml:space="preserve"> y tipo de apoyo</w:t>
      </w:r>
      <w:r w:rsidR="00695337">
        <w:rPr>
          <w:b/>
          <w:color w:val="595959"/>
        </w:rPr>
        <w:t>: Sector público</w:t>
      </w:r>
    </w:p>
    <w:tbl>
      <w:tblPr>
        <w:tblStyle w:val="aa"/>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333"/>
        <w:gridCol w:w="2621"/>
        <w:gridCol w:w="3071"/>
      </w:tblGrid>
      <w:tr w:rsidR="008A34AE" w14:paraId="41069FFC" w14:textId="77777777" w:rsidTr="000951BC">
        <w:trPr>
          <w:trHeight w:val="500"/>
          <w:tblHeader/>
        </w:trPr>
        <w:tc>
          <w:tcPr>
            <w:tcW w:w="3333" w:type="dxa"/>
            <w:tcBorders>
              <w:top w:val="single" w:sz="4" w:space="0" w:color="000000"/>
              <w:left w:val="single" w:sz="4" w:space="0" w:color="000000"/>
              <w:bottom w:val="single" w:sz="4" w:space="0" w:color="000000"/>
              <w:right w:val="single" w:sz="4" w:space="0" w:color="000000"/>
            </w:tcBorders>
            <w:shd w:val="clear" w:color="auto" w:fill="205968"/>
            <w:tcMar>
              <w:top w:w="100" w:type="dxa"/>
              <w:left w:w="100" w:type="dxa"/>
              <w:bottom w:w="100" w:type="dxa"/>
              <w:right w:w="100" w:type="dxa"/>
            </w:tcMar>
            <w:vAlign w:val="center"/>
          </w:tcPr>
          <w:p w14:paraId="7FD2082A" w14:textId="77777777" w:rsidR="008A34AE" w:rsidRDefault="00F35562">
            <w:pPr>
              <w:spacing w:line="240" w:lineRule="auto"/>
              <w:contextualSpacing w:val="0"/>
              <w:jc w:val="center"/>
              <w:rPr>
                <w:b/>
                <w:color w:val="FFFFFF"/>
                <w:sz w:val="20"/>
                <w:szCs w:val="20"/>
              </w:rPr>
            </w:pPr>
            <w:r>
              <w:rPr>
                <w:b/>
                <w:color w:val="FFFFFF"/>
                <w:sz w:val="20"/>
                <w:szCs w:val="20"/>
              </w:rPr>
              <w:t xml:space="preserve">Sector </w:t>
            </w:r>
            <w:r w:rsidR="00695337">
              <w:rPr>
                <w:b/>
                <w:color w:val="FFFFFF"/>
                <w:sz w:val="20"/>
                <w:szCs w:val="20"/>
              </w:rPr>
              <w:t>b</w:t>
            </w:r>
            <w:r>
              <w:rPr>
                <w:b/>
                <w:color w:val="FFFFFF"/>
                <w:sz w:val="20"/>
                <w:szCs w:val="20"/>
              </w:rPr>
              <w:t>eneficiado:</w:t>
            </w:r>
          </w:p>
          <w:p w14:paraId="3790406C" w14:textId="77777777" w:rsidR="008A34AE" w:rsidRDefault="00F35562">
            <w:pPr>
              <w:spacing w:line="240" w:lineRule="auto"/>
              <w:contextualSpacing w:val="0"/>
              <w:jc w:val="center"/>
              <w:rPr>
                <w:b/>
                <w:color w:val="FFFFFF"/>
                <w:sz w:val="20"/>
                <w:szCs w:val="20"/>
              </w:rPr>
            </w:pPr>
            <w:r>
              <w:rPr>
                <w:b/>
                <w:color w:val="FFFFFF"/>
                <w:sz w:val="20"/>
                <w:szCs w:val="20"/>
              </w:rPr>
              <w:t xml:space="preserve">Sector </w:t>
            </w:r>
            <w:r w:rsidR="00695337">
              <w:rPr>
                <w:b/>
                <w:color w:val="FFFFFF"/>
                <w:sz w:val="20"/>
                <w:szCs w:val="20"/>
              </w:rPr>
              <w:t>p</w:t>
            </w:r>
            <w:r>
              <w:rPr>
                <w:b/>
                <w:color w:val="FFFFFF"/>
                <w:sz w:val="20"/>
                <w:szCs w:val="20"/>
              </w:rPr>
              <w:t>úblico</w:t>
            </w:r>
          </w:p>
        </w:tc>
        <w:tc>
          <w:tcPr>
            <w:tcW w:w="2621" w:type="dxa"/>
            <w:tcBorders>
              <w:top w:val="single" w:sz="4" w:space="0" w:color="000000"/>
              <w:left w:val="single" w:sz="4" w:space="0" w:color="000000"/>
              <w:bottom w:val="single" w:sz="4" w:space="0" w:color="000000"/>
              <w:right w:val="single" w:sz="4" w:space="0" w:color="000000"/>
            </w:tcBorders>
            <w:shd w:val="clear" w:color="auto" w:fill="205968"/>
            <w:tcMar>
              <w:top w:w="100" w:type="dxa"/>
              <w:left w:w="100" w:type="dxa"/>
              <w:bottom w:w="100" w:type="dxa"/>
              <w:right w:w="100" w:type="dxa"/>
            </w:tcMar>
            <w:vAlign w:val="center"/>
          </w:tcPr>
          <w:p w14:paraId="3404512B" w14:textId="775EE054" w:rsidR="008A34AE" w:rsidRDefault="00F35562">
            <w:pPr>
              <w:spacing w:line="240" w:lineRule="auto"/>
              <w:contextualSpacing w:val="0"/>
              <w:jc w:val="center"/>
              <w:rPr>
                <w:b/>
                <w:color w:val="FFFFFF"/>
                <w:sz w:val="20"/>
                <w:szCs w:val="20"/>
              </w:rPr>
            </w:pPr>
            <w:r>
              <w:rPr>
                <w:b/>
                <w:color w:val="FFFFFF"/>
                <w:sz w:val="20"/>
                <w:szCs w:val="20"/>
              </w:rPr>
              <w:t xml:space="preserve">Suma de </w:t>
            </w:r>
            <w:r w:rsidR="00695337">
              <w:rPr>
                <w:b/>
                <w:color w:val="FFFFFF"/>
                <w:sz w:val="20"/>
                <w:szCs w:val="20"/>
              </w:rPr>
              <w:t>v</w:t>
            </w:r>
            <w:r>
              <w:rPr>
                <w:b/>
                <w:color w:val="FFFFFF"/>
                <w:sz w:val="20"/>
                <w:szCs w:val="20"/>
              </w:rPr>
              <w:t xml:space="preserve">alor </w:t>
            </w:r>
            <w:r w:rsidR="00695337">
              <w:rPr>
                <w:b/>
                <w:color w:val="FFFFFF"/>
                <w:sz w:val="20"/>
                <w:szCs w:val="20"/>
              </w:rPr>
              <w:t>m</w:t>
            </w:r>
            <w:r>
              <w:rPr>
                <w:b/>
                <w:color w:val="FFFFFF"/>
                <w:sz w:val="20"/>
                <w:szCs w:val="20"/>
              </w:rPr>
              <w:t>onetario del efectivo ejercido</w:t>
            </w:r>
          </w:p>
        </w:tc>
        <w:tc>
          <w:tcPr>
            <w:tcW w:w="3071" w:type="dxa"/>
            <w:tcBorders>
              <w:top w:val="single" w:sz="4" w:space="0" w:color="000000"/>
              <w:left w:val="single" w:sz="4" w:space="0" w:color="000000"/>
              <w:bottom w:val="single" w:sz="4" w:space="0" w:color="000000"/>
              <w:right w:val="single" w:sz="4" w:space="0" w:color="000000"/>
            </w:tcBorders>
            <w:shd w:val="clear" w:color="auto" w:fill="205968"/>
            <w:tcMar>
              <w:top w:w="100" w:type="dxa"/>
              <w:left w:w="100" w:type="dxa"/>
              <w:bottom w:w="100" w:type="dxa"/>
              <w:right w:w="100" w:type="dxa"/>
            </w:tcMar>
            <w:vAlign w:val="center"/>
          </w:tcPr>
          <w:p w14:paraId="24AAA19C" w14:textId="77777777" w:rsidR="008A34AE" w:rsidRDefault="00F35562">
            <w:pPr>
              <w:spacing w:line="240" w:lineRule="auto"/>
              <w:contextualSpacing w:val="0"/>
              <w:jc w:val="center"/>
              <w:rPr>
                <w:b/>
                <w:color w:val="FFFFFF"/>
                <w:sz w:val="20"/>
                <w:szCs w:val="20"/>
              </w:rPr>
            </w:pPr>
            <w:r>
              <w:rPr>
                <w:b/>
                <w:color w:val="FFFFFF"/>
                <w:sz w:val="20"/>
                <w:szCs w:val="20"/>
              </w:rPr>
              <w:t xml:space="preserve">Suma de </w:t>
            </w:r>
            <w:r w:rsidR="00695337">
              <w:rPr>
                <w:b/>
                <w:color w:val="FFFFFF"/>
                <w:sz w:val="20"/>
                <w:szCs w:val="20"/>
              </w:rPr>
              <w:t>v</w:t>
            </w:r>
            <w:r>
              <w:rPr>
                <w:b/>
                <w:color w:val="FFFFFF"/>
                <w:sz w:val="20"/>
                <w:szCs w:val="20"/>
              </w:rPr>
              <w:t xml:space="preserve">alor </w:t>
            </w:r>
            <w:r w:rsidR="00695337">
              <w:rPr>
                <w:b/>
                <w:color w:val="FFFFFF"/>
                <w:sz w:val="20"/>
                <w:szCs w:val="20"/>
              </w:rPr>
              <w:t>m</w:t>
            </w:r>
            <w:r>
              <w:rPr>
                <w:b/>
                <w:color w:val="FFFFFF"/>
                <w:sz w:val="20"/>
                <w:szCs w:val="20"/>
              </w:rPr>
              <w:t xml:space="preserve">onetario de los recursos en </w:t>
            </w:r>
            <w:r w:rsidR="00695337">
              <w:rPr>
                <w:b/>
                <w:color w:val="FFFFFF"/>
                <w:sz w:val="20"/>
                <w:szCs w:val="20"/>
              </w:rPr>
              <w:t>e</w:t>
            </w:r>
            <w:r>
              <w:rPr>
                <w:b/>
                <w:color w:val="FFFFFF"/>
                <w:sz w:val="20"/>
                <w:szCs w:val="20"/>
              </w:rPr>
              <w:t>specie ejercido</w:t>
            </w:r>
          </w:p>
        </w:tc>
      </w:tr>
      <w:tr w:rsidR="008A34AE" w14:paraId="433DABC8" w14:textId="77777777">
        <w:trPr>
          <w:trHeight w:val="500"/>
        </w:trPr>
        <w:tc>
          <w:tcPr>
            <w:tcW w:w="3333" w:type="dxa"/>
            <w:tcBorders>
              <w:top w:val="nil"/>
              <w:left w:val="single" w:sz="4" w:space="0" w:color="000000"/>
              <w:bottom w:val="single" w:sz="4" w:space="0" w:color="000000"/>
              <w:right w:val="single" w:sz="4" w:space="0" w:color="000000"/>
            </w:tcBorders>
            <w:shd w:val="clear" w:color="auto" w:fill="31849B"/>
            <w:tcMar>
              <w:top w:w="100" w:type="dxa"/>
              <w:left w:w="100" w:type="dxa"/>
              <w:bottom w:w="100" w:type="dxa"/>
              <w:right w:w="100" w:type="dxa"/>
            </w:tcMar>
            <w:vAlign w:val="center"/>
          </w:tcPr>
          <w:p w14:paraId="363456DF" w14:textId="77777777" w:rsidR="008A34AE" w:rsidRDefault="00F35562">
            <w:pPr>
              <w:spacing w:line="240" w:lineRule="auto"/>
              <w:contextualSpacing w:val="0"/>
              <w:rPr>
                <w:b/>
                <w:color w:val="FFFFFF"/>
                <w:sz w:val="20"/>
                <w:szCs w:val="20"/>
              </w:rPr>
            </w:pPr>
            <w:r>
              <w:rPr>
                <w:b/>
                <w:color w:val="FFFFFF"/>
                <w:sz w:val="20"/>
                <w:szCs w:val="20"/>
              </w:rPr>
              <w:t>Acciones de rescate</w:t>
            </w:r>
          </w:p>
        </w:tc>
        <w:tc>
          <w:tcPr>
            <w:tcW w:w="2621"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10F57810" w14:textId="77777777" w:rsidR="008A34AE" w:rsidRDefault="00F35562">
            <w:pPr>
              <w:spacing w:line="240" w:lineRule="auto"/>
              <w:contextualSpacing w:val="0"/>
              <w:jc w:val="center"/>
              <w:rPr>
                <w:color w:val="205968"/>
                <w:sz w:val="20"/>
                <w:szCs w:val="20"/>
              </w:rPr>
            </w:pPr>
            <w:r>
              <w:rPr>
                <w:color w:val="205968"/>
                <w:sz w:val="20"/>
                <w:szCs w:val="20"/>
              </w:rPr>
              <w:t>$34,438.00</w:t>
            </w:r>
          </w:p>
        </w:tc>
        <w:tc>
          <w:tcPr>
            <w:tcW w:w="3071"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340BC97E" w14:textId="77777777" w:rsidR="008A34AE" w:rsidRDefault="00F35562">
            <w:pPr>
              <w:spacing w:line="240" w:lineRule="auto"/>
              <w:contextualSpacing w:val="0"/>
              <w:jc w:val="center"/>
              <w:rPr>
                <w:color w:val="205968"/>
                <w:sz w:val="20"/>
                <w:szCs w:val="20"/>
              </w:rPr>
            </w:pPr>
            <w:r>
              <w:rPr>
                <w:color w:val="205968"/>
                <w:sz w:val="20"/>
                <w:szCs w:val="20"/>
              </w:rPr>
              <w:t>$4,068,194.00</w:t>
            </w:r>
          </w:p>
        </w:tc>
      </w:tr>
      <w:tr w:rsidR="008A34AE" w14:paraId="45B3D94B" w14:textId="77777777">
        <w:trPr>
          <w:trHeight w:val="500"/>
        </w:trPr>
        <w:tc>
          <w:tcPr>
            <w:tcW w:w="3333" w:type="dxa"/>
            <w:tcBorders>
              <w:top w:val="nil"/>
              <w:left w:val="single" w:sz="4" w:space="0" w:color="000000"/>
              <w:bottom w:val="single" w:sz="4" w:space="0" w:color="000000"/>
              <w:right w:val="single" w:sz="4" w:space="0" w:color="000000"/>
            </w:tcBorders>
            <w:shd w:val="clear" w:color="auto" w:fill="31849B"/>
            <w:tcMar>
              <w:top w:w="100" w:type="dxa"/>
              <w:left w:w="100" w:type="dxa"/>
              <w:bottom w:w="100" w:type="dxa"/>
              <w:right w:w="100" w:type="dxa"/>
            </w:tcMar>
            <w:vAlign w:val="center"/>
          </w:tcPr>
          <w:p w14:paraId="2FF3FCA9" w14:textId="77777777" w:rsidR="008A34AE" w:rsidRDefault="00F35562">
            <w:pPr>
              <w:spacing w:line="240" w:lineRule="auto"/>
              <w:contextualSpacing w:val="0"/>
              <w:rPr>
                <w:b/>
                <w:color w:val="FFFFFF"/>
                <w:sz w:val="20"/>
                <w:szCs w:val="20"/>
              </w:rPr>
            </w:pPr>
            <w:r>
              <w:rPr>
                <w:b/>
                <w:color w:val="FFFFFF"/>
                <w:sz w:val="20"/>
                <w:szCs w:val="20"/>
              </w:rPr>
              <w:t>Alimentos</w:t>
            </w:r>
          </w:p>
        </w:tc>
        <w:tc>
          <w:tcPr>
            <w:tcW w:w="2621"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3E30B38A" w14:textId="77777777" w:rsidR="008A34AE" w:rsidRDefault="00F35562">
            <w:pPr>
              <w:spacing w:line="240" w:lineRule="auto"/>
              <w:contextualSpacing w:val="0"/>
              <w:jc w:val="center"/>
              <w:rPr>
                <w:color w:val="205968"/>
                <w:sz w:val="20"/>
                <w:szCs w:val="20"/>
              </w:rPr>
            </w:pPr>
            <w:r>
              <w:rPr>
                <w:color w:val="205968"/>
                <w:sz w:val="20"/>
                <w:szCs w:val="20"/>
              </w:rPr>
              <w:t>$106,288.00</w:t>
            </w:r>
          </w:p>
        </w:tc>
        <w:tc>
          <w:tcPr>
            <w:tcW w:w="3071"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6D648E4C" w14:textId="77777777" w:rsidR="008A34AE" w:rsidRDefault="00F35562">
            <w:pPr>
              <w:spacing w:line="240" w:lineRule="auto"/>
              <w:contextualSpacing w:val="0"/>
              <w:jc w:val="center"/>
              <w:rPr>
                <w:color w:val="205968"/>
                <w:sz w:val="20"/>
                <w:szCs w:val="20"/>
              </w:rPr>
            </w:pPr>
            <w:r>
              <w:rPr>
                <w:color w:val="205968"/>
                <w:sz w:val="20"/>
                <w:szCs w:val="20"/>
              </w:rPr>
              <w:t>$8,854,082.00</w:t>
            </w:r>
          </w:p>
        </w:tc>
      </w:tr>
      <w:tr w:rsidR="008A34AE" w14:paraId="5A6523A5" w14:textId="77777777">
        <w:trPr>
          <w:trHeight w:val="500"/>
        </w:trPr>
        <w:tc>
          <w:tcPr>
            <w:tcW w:w="3333" w:type="dxa"/>
            <w:tcBorders>
              <w:top w:val="nil"/>
              <w:left w:val="single" w:sz="4" w:space="0" w:color="000000"/>
              <w:bottom w:val="single" w:sz="4" w:space="0" w:color="000000"/>
              <w:right w:val="single" w:sz="4" w:space="0" w:color="000000"/>
            </w:tcBorders>
            <w:shd w:val="clear" w:color="auto" w:fill="31849B"/>
            <w:tcMar>
              <w:top w:w="100" w:type="dxa"/>
              <w:left w:w="100" w:type="dxa"/>
              <w:bottom w:w="100" w:type="dxa"/>
              <w:right w:w="100" w:type="dxa"/>
            </w:tcMar>
            <w:vAlign w:val="center"/>
          </w:tcPr>
          <w:p w14:paraId="1FA3EA70" w14:textId="77777777" w:rsidR="008A34AE" w:rsidRDefault="00F35562">
            <w:pPr>
              <w:spacing w:line="240" w:lineRule="auto"/>
              <w:contextualSpacing w:val="0"/>
              <w:rPr>
                <w:b/>
                <w:color w:val="FFFFFF"/>
                <w:sz w:val="20"/>
                <w:szCs w:val="20"/>
              </w:rPr>
            </w:pPr>
            <w:r>
              <w:rPr>
                <w:b/>
                <w:color w:val="FFFFFF"/>
                <w:sz w:val="20"/>
                <w:szCs w:val="20"/>
              </w:rPr>
              <w:t xml:space="preserve">Otros </w:t>
            </w:r>
            <w:r>
              <w:rPr>
                <w:b/>
                <w:color w:val="FFFFFF"/>
                <w:sz w:val="18"/>
                <w:szCs w:val="18"/>
              </w:rPr>
              <w:t>[1]</w:t>
            </w:r>
          </w:p>
        </w:tc>
        <w:tc>
          <w:tcPr>
            <w:tcW w:w="2621"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6E659C82" w14:textId="77777777" w:rsidR="008A34AE" w:rsidRDefault="00F35562">
            <w:pPr>
              <w:spacing w:line="240" w:lineRule="auto"/>
              <w:contextualSpacing w:val="0"/>
              <w:jc w:val="center"/>
              <w:rPr>
                <w:color w:val="205968"/>
                <w:sz w:val="20"/>
                <w:szCs w:val="20"/>
              </w:rPr>
            </w:pPr>
            <w:r>
              <w:rPr>
                <w:color w:val="205968"/>
                <w:sz w:val="20"/>
                <w:szCs w:val="20"/>
              </w:rPr>
              <w:t>$11,823,733.00</w:t>
            </w:r>
          </w:p>
        </w:tc>
        <w:tc>
          <w:tcPr>
            <w:tcW w:w="3071"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4B320E8D" w14:textId="77777777" w:rsidR="008A34AE" w:rsidRDefault="00F35562">
            <w:pPr>
              <w:spacing w:line="240" w:lineRule="auto"/>
              <w:contextualSpacing w:val="0"/>
              <w:jc w:val="center"/>
              <w:rPr>
                <w:color w:val="205968"/>
                <w:sz w:val="20"/>
                <w:szCs w:val="20"/>
              </w:rPr>
            </w:pPr>
            <w:r>
              <w:rPr>
                <w:color w:val="205968"/>
                <w:sz w:val="20"/>
                <w:szCs w:val="20"/>
              </w:rPr>
              <w:t>$56,962,257.01</w:t>
            </w:r>
          </w:p>
        </w:tc>
      </w:tr>
      <w:tr w:rsidR="008A34AE" w14:paraId="2C883025" w14:textId="77777777">
        <w:trPr>
          <w:trHeight w:val="500"/>
        </w:trPr>
        <w:tc>
          <w:tcPr>
            <w:tcW w:w="3333" w:type="dxa"/>
            <w:tcBorders>
              <w:top w:val="nil"/>
              <w:left w:val="single" w:sz="4" w:space="0" w:color="000000"/>
              <w:bottom w:val="single" w:sz="4" w:space="0" w:color="000000"/>
              <w:right w:val="single" w:sz="4" w:space="0" w:color="000000"/>
            </w:tcBorders>
            <w:shd w:val="clear" w:color="auto" w:fill="31849B"/>
            <w:tcMar>
              <w:top w:w="100" w:type="dxa"/>
              <w:left w:w="100" w:type="dxa"/>
              <w:bottom w:w="100" w:type="dxa"/>
              <w:right w:w="100" w:type="dxa"/>
            </w:tcMar>
            <w:vAlign w:val="center"/>
          </w:tcPr>
          <w:p w14:paraId="75154469" w14:textId="77777777" w:rsidR="008A34AE" w:rsidRDefault="00F35562">
            <w:pPr>
              <w:spacing w:line="240" w:lineRule="auto"/>
              <w:contextualSpacing w:val="0"/>
              <w:rPr>
                <w:b/>
                <w:color w:val="FFFFFF"/>
                <w:sz w:val="20"/>
                <w:szCs w:val="20"/>
              </w:rPr>
            </w:pPr>
            <w:r>
              <w:rPr>
                <w:b/>
                <w:color w:val="FFFFFF"/>
                <w:sz w:val="20"/>
                <w:szCs w:val="20"/>
              </w:rPr>
              <w:t>Servicios Médico</w:t>
            </w:r>
            <w:r w:rsidR="003D2907">
              <w:rPr>
                <w:b/>
                <w:color w:val="FFFFFF"/>
                <w:sz w:val="20"/>
                <w:szCs w:val="20"/>
              </w:rPr>
              <w:t>s</w:t>
            </w:r>
          </w:p>
        </w:tc>
        <w:tc>
          <w:tcPr>
            <w:tcW w:w="2621"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4BEE5752" w14:textId="77777777" w:rsidR="008A34AE" w:rsidRDefault="00F35562">
            <w:pPr>
              <w:spacing w:line="240" w:lineRule="auto"/>
              <w:contextualSpacing w:val="0"/>
              <w:jc w:val="center"/>
              <w:rPr>
                <w:color w:val="205968"/>
                <w:sz w:val="20"/>
                <w:szCs w:val="20"/>
              </w:rPr>
            </w:pPr>
            <w:r>
              <w:rPr>
                <w:color w:val="205968"/>
                <w:sz w:val="20"/>
                <w:szCs w:val="20"/>
              </w:rPr>
              <w:t>$1,072,969.00</w:t>
            </w:r>
          </w:p>
        </w:tc>
        <w:tc>
          <w:tcPr>
            <w:tcW w:w="3071"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1198C347" w14:textId="77777777" w:rsidR="008A34AE" w:rsidRDefault="00F35562">
            <w:pPr>
              <w:spacing w:line="240" w:lineRule="auto"/>
              <w:contextualSpacing w:val="0"/>
              <w:jc w:val="center"/>
              <w:rPr>
                <w:color w:val="205968"/>
                <w:sz w:val="20"/>
                <w:szCs w:val="20"/>
              </w:rPr>
            </w:pPr>
            <w:r>
              <w:rPr>
                <w:color w:val="205968"/>
                <w:sz w:val="20"/>
                <w:szCs w:val="20"/>
              </w:rPr>
              <w:t>$11,439,016.00</w:t>
            </w:r>
          </w:p>
        </w:tc>
      </w:tr>
      <w:tr w:rsidR="008A34AE" w14:paraId="4EFAA012" w14:textId="77777777">
        <w:trPr>
          <w:trHeight w:val="500"/>
        </w:trPr>
        <w:tc>
          <w:tcPr>
            <w:tcW w:w="3333" w:type="dxa"/>
            <w:tcBorders>
              <w:top w:val="nil"/>
              <w:left w:val="single" w:sz="4" w:space="0" w:color="000000"/>
              <w:bottom w:val="single" w:sz="4" w:space="0" w:color="000000"/>
              <w:right w:val="single" w:sz="4" w:space="0" w:color="000000"/>
            </w:tcBorders>
            <w:shd w:val="clear" w:color="auto" w:fill="31849B"/>
            <w:tcMar>
              <w:top w:w="100" w:type="dxa"/>
              <w:left w:w="100" w:type="dxa"/>
              <w:bottom w:w="100" w:type="dxa"/>
              <w:right w:w="100" w:type="dxa"/>
            </w:tcMar>
            <w:vAlign w:val="center"/>
          </w:tcPr>
          <w:p w14:paraId="7FABBB80" w14:textId="77777777" w:rsidR="008A34AE" w:rsidRDefault="00F35562">
            <w:pPr>
              <w:spacing w:line="240" w:lineRule="auto"/>
              <w:contextualSpacing w:val="0"/>
              <w:rPr>
                <w:b/>
                <w:color w:val="FFFFFF"/>
                <w:sz w:val="20"/>
                <w:szCs w:val="20"/>
              </w:rPr>
            </w:pPr>
            <w:r>
              <w:rPr>
                <w:b/>
                <w:color w:val="FFFFFF"/>
                <w:sz w:val="20"/>
                <w:szCs w:val="20"/>
              </w:rPr>
              <w:t>Viviendas</w:t>
            </w:r>
          </w:p>
        </w:tc>
        <w:tc>
          <w:tcPr>
            <w:tcW w:w="2621"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7A452950" w14:textId="77777777" w:rsidR="008A34AE" w:rsidRDefault="00F35562">
            <w:pPr>
              <w:spacing w:line="240" w:lineRule="auto"/>
              <w:contextualSpacing w:val="0"/>
              <w:jc w:val="center"/>
              <w:rPr>
                <w:color w:val="205968"/>
                <w:sz w:val="20"/>
                <w:szCs w:val="20"/>
              </w:rPr>
            </w:pPr>
            <w:r>
              <w:rPr>
                <w:color w:val="205968"/>
                <w:sz w:val="20"/>
                <w:szCs w:val="20"/>
              </w:rPr>
              <w:t>$35,802,033.00</w:t>
            </w:r>
          </w:p>
        </w:tc>
        <w:tc>
          <w:tcPr>
            <w:tcW w:w="3071"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4A4EE02B" w14:textId="77777777" w:rsidR="008A34AE" w:rsidRDefault="00F35562">
            <w:pPr>
              <w:spacing w:line="240" w:lineRule="auto"/>
              <w:contextualSpacing w:val="0"/>
              <w:jc w:val="center"/>
              <w:rPr>
                <w:color w:val="205968"/>
                <w:sz w:val="20"/>
                <w:szCs w:val="20"/>
              </w:rPr>
            </w:pPr>
            <w:r>
              <w:rPr>
                <w:color w:val="205968"/>
                <w:sz w:val="20"/>
                <w:szCs w:val="20"/>
              </w:rPr>
              <w:t>$4,727,578.00</w:t>
            </w:r>
          </w:p>
        </w:tc>
      </w:tr>
      <w:tr w:rsidR="008A34AE" w14:paraId="4039C3D1" w14:textId="77777777">
        <w:trPr>
          <w:trHeight w:val="500"/>
        </w:trPr>
        <w:tc>
          <w:tcPr>
            <w:tcW w:w="3333" w:type="dxa"/>
            <w:tcBorders>
              <w:top w:val="single" w:sz="4" w:space="0" w:color="000000"/>
              <w:left w:val="single" w:sz="4" w:space="0" w:color="000000"/>
              <w:bottom w:val="single" w:sz="4" w:space="0" w:color="000000"/>
              <w:right w:val="single" w:sz="4" w:space="0" w:color="000000"/>
            </w:tcBorders>
            <w:shd w:val="clear" w:color="auto" w:fill="205968"/>
            <w:tcMar>
              <w:top w:w="100" w:type="dxa"/>
              <w:left w:w="100" w:type="dxa"/>
              <w:bottom w:w="100" w:type="dxa"/>
              <w:right w:w="100" w:type="dxa"/>
            </w:tcMar>
            <w:vAlign w:val="center"/>
          </w:tcPr>
          <w:p w14:paraId="7FDBB331" w14:textId="77777777" w:rsidR="008A34AE" w:rsidRDefault="00F35562">
            <w:pPr>
              <w:spacing w:line="240" w:lineRule="auto"/>
              <w:contextualSpacing w:val="0"/>
              <w:rPr>
                <w:b/>
                <w:color w:val="0000FF"/>
                <w:sz w:val="20"/>
                <w:szCs w:val="20"/>
              </w:rPr>
            </w:pPr>
            <w:r>
              <w:rPr>
                <w:b/>
                <w:color w:val="FFFFFF"/>
                <w:sz w:val="20"/>
                <w:szCs w:val="20"/>
              </w:rPr>
              <w:t>Total</w:t>
            </w:r>
          </w:p>
        </w:tc>
        <w:tc>
          <w:tcPr>
            <w:tcW w:w="2621" w:type="dxa"/>
            <w:tcBorders>
              <w:top w:val="single" w:sz="4" w:space="0" w:color="000000"/>
              <w:left w:val="single" w:sz="4" w:space="0" w:color="000000"/>
              <w:bottom w:val="single" w:sz="4" w:space="0" w:color="000000"/>
              <w:right w:val="single" w:sz="4" w:space="0" w:color="000000"/>
            </w:tcBorders>
            <w:shd w:val="clear" w:color="auto" w:fill="205968"/>
            <w:tcMar>
              <w:top w:w="100" w:type="dxa"/>
              <w:left w:w="100" w:type="dxa"/>
              <w:bottom w:w="100" w:type="dxa"/>
              <w:right w:w="100" w:type="dxa"/>
            </w:tcMar>
            <w:vAlign w:val="center"/>
          </w:tcPr>
          <w:p w14:paraId="2A766B25" w14:textId="77777777" w:rsidR="008A34AE" w:rsidRDefault="00F35562">
            <w:pPr>
              <w:spacing w:line="240" w:lineRule="auto"/>
              <w:contextualSpacing w:val="0"/>
              <w:jc w:val="center"/>
              <w:rPr>
                <w:b/>
                <w:color w:val="FFFFFF"/>
                <w:sz w:val="20"/>
                <w:szCs w:val="20"/>
              </w:rPr>
            </w:pPr>
            <w:r>
              <w:rPr>
                <w:b/>
                <w:color w:val="FFFFFF"/>
                <w:sz w:val="20"/>
                <w:szCs w:val="20"/>
              </w:rPr>
              <w:t>$48,839,461.00</w:t>
            </w:r>
          </w:p>
        </w:tc>
        <w:tc>
          <w:tcPr>
            <w:tcW w:w="3071" w:type="dxa"/>
            <w:tcBorders>
              <w:top w:val="single" w:sz="4" w:space="0" w:color="000000"/>
              <w:left w:val="single" w:sz="4" w:space="0" w:color="000000"/>
              <w:bottom w:val="single" w:sz="4" w:space="0" w:color="000000"/>
              <w:right w:val="single" w:sz="4" w:space="0" w:color="000000"/>
            </w:tcBorders>
            <w:shd w:val="clear" w:color="auto" w:fill="205968"/>
            <w:tcMar>
              <w:top w:w="100" w:type="dxa"/>
              <w:left w:w="100" w:type="dxa"/>
              <w:bottom w:w="100" w:type="dxa"/>
              <w:right w:w="100" w:type="dxa"/>
            </w:tcMar>
            <w:vAlign w:val="center"/>
          </w:tcPr>
          <w:p w14:paraId="1BF92629" w14:textId="77777777" w:rsidR="008A34AE" w:rsidRDefault="00F35562">
            <w:pPr>
              <w:spacing w:line="240" w:lineRule="auto"/>
              <w:contextualSpacing w:val="0"/>
              <w:jc w:val="center"/>
              <w:rPr>
                <w:b/>
                <w:color w:val="FFFFFF"/>
                <w:sz w:val="20"/>
                <w:szCs w:val="20"/>
              </w:rPr>
            </w:pPr>
            <w:r>
              <w:rPr>
                <w:b/>
                <w:color w:val="FFFFFF"/>
                <w:sz w:val="20"/>
                <w:szCs w:val="20"/>
              </w:rPr>
              <w:t>$86,051,127.01</w:t>
            </w:r>
          </w:p>
        </w:tc>
      </w:tr>
    </w:tbl>
    <w:p w14:paraId="031A095D" w14:textId="77777777" w:rsidR="008A34AE" w:rsidRDefault="00F35562">
      <w:pPr>
        <w:contextualSpacing w:val="0"/>
        <w:jc w:val="both"/>
        <w:rPr>
          <w:color w:val="595959"/>
          <w:sz w:val="16"/>
          <w:szCs w:val="16"/>
        </w:rPr>
      </w:pPr>
      <w:r>
        <w:rPr>
          <w:b/>
          <w:color w:val="595959"/>
          <w:sz w:val="16"/>
          <w:szCs w:val="16"/>
        </w:rPr>
        <w:t>Fuente</w:t>
      </w:r>
      <w:r>
        <w:rPr>
          <w:color w:val="595959"/>
          <w:sz w:val="16"/>
          <w:szCs w:val="16"/>
        </w:rPr>
        <w:t>: Elaboración propia con datos de la base publicada por el SAT al 31 de mayo de 2018, consultada el 6 de septiembre de 2018</w:t>
      </w:r>
      <w:r w:rsidR="00695337">
        <w:rPr>
          <w:color w:val="595959"/>
          <w:sz w:val="16"/>
          <w:szCs w:val="16"/>
        </w:rPr>
        <w:t>.</w:t>
      </w:r>
    </w:p>
    <w:p w14:paraId="18E5DF7F" w14:textId="77777777" w:rsidR="008A34AE" w:rsidRDefault="00F35562">
      <w:pPr>
        <w:contextualSpacing w:val="0"/>
        <w:jc w:val="both"/>
        <w:rPr>
          <w:color w:val="595959"/>
          <w:sz w:val="16"/>
          <w:szCs w:val="16"/>
        </w:rPr>
      </w:pPr>
      <w:r>
        <w:rPr>
          <w:color w:val="595959"/>
          <w:sz w:val="16"/>
          <w:szCs w:val="16"/>
        </w:rPr>
        <w:t xml:space="preserve">[1] “Otros” </w:t>
      </w:r>
      <w:r w:rsidR="00695337">
        <w:rPr>
          <w:color w:val="595959"/>
          <w:sz w:val="16"/>
          <w:szCs w:val="16"/>
        </w:rPr>
        <w:t>i</w:t>
      </w:r>
      <w:r>
        <w:rPr>
          <w:color w:val="595959"/>
          <w:sz w:val="16"/>
          <w:szCs w:val="16"/>
        </w:rPr>
        <w:t>ncluye categorías, como transporte, gasolina, artículos de higiene personal, equipo de cómputo, materiales de construcción, casas de campaña, víveres, calzado, entre otros.</w:t>
      </w:r>
    </w:p>
    <w:p w14:paraId="45BBD325" w14:textId="77777777" w:rsidR="008A34AE" w:rsidRDefault="008A34AE">
      <w:pPr>
        <w:contextualSpacing w:val="0"/>
        <w:jc w:val="both"/>
        <w:rPr>
          <w:b/>
          <w:color w:val="0000FF"/>
        </w:rPr>
      </w:pPr>
    </w:p>
    <w:p w14:paraId="51A01246" w14:textId="77777777" w:rsidR="000951BC" w:rsidRDefault="000951BC">
      <w:pPr>
        <w:contextualSpacing w:val="0"/>
        <w:jc w:val="both"/>
        <w:rPr>
          <w:b/>
          <w:color w:val="0000FF"/>
        </w:rPr>
      </w:pPr>
    </w:p>
    <w:p w14:paraId="04E9ED7C" w14:textId="77777777" w:rsidR="000951BC" w:rsidRDefault="000951BC">
      <w:pPr>
        <w:contextualSpacing w:val="0"/>
        <w:jc w:val="both"/>
        <w:rPr>
          <w:b/>
          <w:color w:val="0000FF"/>
        </w:rPr>
      </w:pPr>
    </w:p>
    <w:p w14:paraId="1B1E965F" w14:textId="77777777" w:rsidR="0028709C" w:rsidRDefault="0028709C">
      <w:pPr>
        <w:contextualSpacing w:val="0"/>
        <w:jc w:val="both"/>
        <w:rPr>
          <w:b/>
          <w:color w:val="0000FF"/>
        </w:rPr>
      </w:pPr>
    </w:p>
    <w:p w14:paraId="7F7B8D9B" w14:textId="77777777" w:rsidR="0028709C" w:rsidRDefault="0028709C">
      <w:pPr>
        <w:contextualSpacing w:val="0"/>
        <w:jc w:val="both"/>
        <w:rPr>
          <w:b/>
          <w:color w:val="0000FF"/>
        </w:rPr>
      </w:pPr>
    </w:p>
    <w:p w14:paraId="1D4870A9" w14:textId="77777777" w:rsidR="000951BC" w:rsidRDefault="000951BC">
      <w:pPr>
        <w:contextualSpacing w:val="0"/>
        <w:jc w:val="both"/>
        <w:rPr>
          <w:b/>
          <w:color w:val="0000FF"/>
        </w:rPr>
      </w:pPr>
    </w:p>
    <w:p w14:paraId="7F16C939" w14:textId="77777777" w:rsidR="000951BC" w:rsidRDefault="000951BC">
      <w:pPr>
        <w:contextualSpacing w:val="0"/>
        <w:jc w:val="both"/>
        <w:rPr>
          <w:b/>
          <w:color w:val="0000FF"/>
        </w:rPr>
      </w:pPr>
    </w:p>
    <w:p w14:paraId="28329B00" w14:textId="77777777" w:rsidR="008A34AE" w:rsidRDefault="00F35562">
      <w:pPr>
        <w:contextualSpacing w:val="0"/>
        <w:jc w:val="center"/>
        <w:rPr>
          <w:b/>
          <w:color w:val="595959"/>
        </w:rPr>
      </w:pPr>
      <w:r>
        <w:rPr>
          <w:b/>
          <w:color w:val="595959"/>
        </w:rPr>
        <w:t>Tabla 13. Distribución de los recursos por sector beneficiado y tipo de apoyo</w:t>
      </w:r>
      <w:r w:rsidR="00695337">
        <w:rPr>
          <w:b/>
          <w:color w:val="595959"/>
        </w:rPr>
        <w:t>: Donataria autorizada</w:t>
      </w:r>
    </w:p>
    <w:tbl>
      <w:tblPr>
        <w:tblStyle w:val="ab"/>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8A34AE" w14:paraId="6B6B5DBB" w14:textId="77777777" w:rsidTr="000951BC">
        <w:trPr>
          <w:tblHeader/>
        </w:trPr>
        <w:tc>
          <w:tcPr>
            <w:tcW w:w="3009" w:type="dxa"/>
            <w:tcBorders>
              <w:top w:val="single" w:sz="4" w:space="0" w:color="000000"/>
              <w:left w:val="single" w:sz="4" w:space="0" w:color="000000"/>
              <w:bottom w:val="single" w:sz="4" w:space="0" w:color="000000"/>
              <w:right w:val="single" w:sz="4" w:space="0" w:color="000000"/>
            </w:tcBorders>
            <w:shd w:val="clear" w:color="auto" w:fill="205968"/>
            <w:tcMar>
              <w:top w:w="100" w:type="dxa"/>
              <w:left w:w="100" w:type="dxa"/>
              <w:bottom w:w="100" w:type="dxa"/>
              <w:right w:w="100" w:type="dxa"/>
            </w:tcMar>
            <w:vAlign w:val="center"/>
          </w:tcPr>
          <w:p w14:paraId="38711C40" w14:textId="77777777" w:rsidR="008A34AE" w:rsidRDefault="00F35562">
            <w:pPr>
              <w:widowControl w:val="0"/>
              <w:pBdr>
                <w:top w:val="nil"/>
                <w:left w:val="nil"/>
                <w:bottom w:val="nil"/>
                <w:right w:val="nil"/>
                <w:between w:val="nil"/>
              </w:pBdr>
              <w:contextualSpacing w:val="0"/>
              <w:jc w:val="center"/>
              <w:rPr>
                <w:b/>
                <w:color w:val="FFFFFF"/>
                <w:sz w:val="20"/>
                <w:szCs w:val="20"/>
              </w:rPr>
            </w:pPr>
            <w:r>
              <w:rPr>
                <w:b/>
                <w:color w:val="FFFFFF"/>
                <w:sz w:val="20"/>
                <w:szCs w:val="20"/>
              </w:rPr>
              <w:t xml:space="preserve">Sector </w:t>
            </w:r>
            <w:r w:rsidR="00695337">
              <w:rPr>
                <w:b/>
                <w:color w:val="FFFFFF"/>
                <w:sz w:val="20"/>
                <w:szCs w:val="20"/>
              </w:rPr>
              <w:t>b</w:t>
            </w:r>
            <w:r>
              <w:rPr>
                <w:b/>
                <w:color w:val="FFFFFF"/>
                <w:sz w:val="20"/>
                <w:szCs w:val="20"/>
              </w:rPr>
              <w:t>eneficiado: Donataria autorizada</w:t>
            </w:r>
          </w:p>
        </w:tc>
        <w:tc>
          <w:tcPr>
            <w:tcW w:w="3010" w:type="dxa"/>
            <w:tcBorders>
              <w:top w:val="single" w:sz="4" w:space="0" w:color="000000"/>
              <w:left w:val="single" w:sz="4" w:space="0" w:color="000000"/>
              <w:bottom w:val="single" w:sz="4" w:space="0" w:color="000000"/>
              <w:right w:val="single" w:sz="4" w:space="0" w:color="000000"/>
            </w:tcBorders>
            <w:shd w:val="clear" w:color="auto" w:fill="205968"/>
            <w:tcMar>
              <w:top w:w="100" w:type="dxa"/>
              <w:left w:w="100" w:type="dxa"/>
              <w:bottom w:w="100" w:type="dxa"/>
              <w:right w:w="100" w:type="dxa"/>
            </w:tcMar>
            <w:vAlign w:val="center"/>
          </w:tcPr>
          <w:p w14:paraId="6655A781" w14:textId="0DD0FB11" w:rsidR="008A34AE" w:rsidRDefault="003D2907">
            <w:pPr>
              <w:widowControl w:val="0"/>
              <w:pBdr>
                <w:top w:val="nil"/>
                <w:left w:val="nil"/>
                <w:bottom w:val="nil"/>
                <w:right w:val="nil"/>
                <w:between w:val="nil"/>
              </w:pBdr>
              <w:contextualSpacing w:val="0"/>
              <w:jc w:val="center"/>
              <w:rPr>
                <w:b/>
                <w:color w:val="FFFFFF"/>
                <w:sz w:val="20"/>
                <w:szCs w:val="20"/>
              </w:rPr>
            </w:pPr>
            <w:r>
              <w:rPr>
                <w:b/>
                <w:color w:val="FFFFFF"/>
                <w:sz w:val="20"/>
                <w:szCs w:val="20"/>
              </w:rPr>
              <w:t>Suma de valor monetario del efectivo ejercido</w:t>
            </w:r>
          </w:p>
        </w:tc>
        <w:tc>
          <w:tcPr>
            <w:tcW w:w="3010" w:type="dxa"/>
            <w:tcBorders>
              <w:top w:val="single" w:sz="4" w:space="0" w:color="000000"/>
              <w:left w:val="single" w:sz="4" w:space="0" w:color="000000"/>
              <w:bottom w:val="single" w:sz="4" w:space="0" w:color="000000"/>
              <w:right w:val="single" w:sz="4" w:space="0" w:color="000000"/>
            </w:tcBorders>
            <w:shd w:val="clear" w:color="auto" w:fill="205968"/>
            <w:tcMar>
              <w:top w:w="100" w:type="dxa"/>
              <w:left w:w="100" w:type="dxa"/>
              <w:bottom w:w="100" w:type="dxa"/>
              <w:right w:w="100" w:type="dxa"/>
            </w:tcMar>
            <w:vAlign w:val="center"/>
          </w:tcPr>
          <w:p w14:paraId="7F07DB0C" w14:textId="77777777" w:rsidR="008A34AE" w:rsidRDefault="003D2907">
            <w:pPr>
              <w:widowControl w:val="0"/>
              <w:pBdr>
                <w:top w:val="nil"/>
                <w:left w:val="nil"/>
                <w:bottom w:val="nil"/>
                <w:right w:val="nil"/>
                <w:between w:val="nil"/>
              </w:pBdr>
              <w:contextualSpacing w:val="0"/>
              <w:jc w:val="center"/>
              <w:rPr>
                <w:b/>
                <w:color w:val="FFFFFF"/>
                <w:sz w:val="20"/>
                <w:szCs w:val="20"/>
              </w:rPr>
            </w:pPr>
            <w:r>
              <w:rPr>
                <w:b/>
                <w:color w:val="FFFFFF"/>
                <w:sz w:val="20"/>
                <w:szCs w:val="20"/>
              </w:rPr>
              <w:t>Suma de valor monetario de los recursos en especie ejercido</w:t>
            </w:r>
          </w:p>
        </w:tc>
      </w:tr>
      <w:tr w:rsidR="008A34AE" w14:paraId="6D4FCED9" w14:textId="77777777">
        <w:tc>
          <w:tcPr>
            <w:tcW w:w="3009" w:type="dxa"/>
            <w:tcBorders>
              <w:top w:val="nil"/>
              <w:left w:val="single" w:sz="4" w:space="0" w:color="000000"/>
              <w:bottom w:val="single" w:sz="4" w:space="0" w:color="000000"/>
              <w:right w:val="single" w:sz="4" w:space="0" w:color="000000"/>
            </w:tcBorders>
            <w:shd w:val="clear" w:color="auto" w:fill="31849B"/>
            <w:tcMar>
              <w:top w:w="100" w:type="dxa"/>
              <w:left w:w="100" w:type="dxa"/>
              <w:bottom w:w="100" w:type="dxa"/>
              <w:right w:w="100" w:type="dxa"/>
            </w:tcMar>
            <w:vAlign w:val="center"/>
          </w:tcPr>
          <w:p w14:paraId="10F7D13D" w14:textId="77777777" w:rsidR="008A34AE" w:rsidRDefault="00F35562">
            <w:pPr>
              <w:widowControl w:val="0"/>
              <w:pBdr>
                <w:top w:val="nil"/>
                <w:left w:val="nil"/>
                <w:bottom w:val="nil"/>
                <w:right w:val="nil"/>
                <w:between w:val="nil"/>
              </w:pBdr>
              <w:spacing w:line="240" w:lineRule="auto"/>
              <w:contextualSpacing w:val="0"/>
              <w:rPr>
                <w:b/>
                <w:color w:val="FFFFFF"/>
                <w:sz w:val="20"/>
                <w:szCs w:val="20"/>
              </w:rPr>
            </w:pPr>
            <w:r>
              <w:rPr>
                <w:b/>
                <w:color w:val="FFFFFF"/>
                <w:sz w:val="20"/>
                <w:szCs w:val="20"/>
              </w:rPr>
              <w:t>Acciones de rescate</w:t>
            </w:r>
          </w:p>
        </w:tc>
        <w:tc>
          <w:tcPr>
            <w:tcW w:w="3010"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0E22BFD8"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$1,784,429.00</w:t>
            </w:r>
          </w:p>
        </w:tc>
        <w:tc>
          <w:tcPr>
            <w:tcW w:w="3010"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66267B29"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$2,248,454.00</w:t>
            </w:r>
          </w:p>
        </w:tc>
      </w:tr>
      <w:tr w:rsidR="008A34AE" w14:paraId="147BA248" w14:textId="77777777">
        <w:tc>
          <w:tcPr>
            <w:tcW w:w="3009" w:type="dxa"/>
            <w:tcBorders>
              <w:top w:val="nil"/>
              <w:left w:val="single" w:sz="4" w:space="0" w:color="000000"/>
              <w:bottom w:val="single" w:sz="4" w:space="0" w:color="000000"/>
              <w:right w:val="single" w:sz="4" w:space="0" w:color="000000"/>
            </w:tcBorders>
            <w:shd w:val="clear" w:color="auto" w:fill="31849B"/>
            <w:tcMar>
              <w:top w:w="100" w:type="dxa"/>
              <w:left w:w="100" w:type="dxa"/>
              <w:bottom w:w="100" w:type="dxa"/>
              <w:right w:w="100" w:type="dxa"/>
            </w:tcMar>
            <w:vAlign w:val="center"/>
          </w:tcPr>
          <w:p w14:paraId="29BF5DCF" w14:textId="77777777" w:rsidR="008A34AE" w:rsidRDefault="00F35562">
            <w:pPr>
              <w:widowControl w:val="0"/>
              <w:pBdr>
                <w:top w:val="nil"/>
                <w:left w:val="nil"/>
                <w:bottom w:val="nil"/>
                <w:right w:val="nil"/>
                <w:between w:val="nil"/>
              </w:pBdr>
              <w:spacing w:line="240" w:lineRule="auto"/>
              <w:contextualSpacing w:val="0"/>
              <w:rPr>
                <w:b/>
                <w:color w:val="FFFFFF"/>
                <w:sz w:val="20"/>
                <w:szCs w:val="20"/>
              </w:rPr>
            </w:pPr>
            <w:r>
              <w:rPr>
                <w:b/>
                <w:color w:val="FFFFFF"/>
                <w:sz w:val="20"/>
                <w:szCs w:val="20"/>
              </w:rPr>
              <w:t>Alimentos</w:t>
            </w:r>
          </w:p>
        </w:tc>
        <w:tc>
          <w:tcPr>
            <w:tcW w:w="3010"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2D7E9528"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$10,298,613.00</w:t>
            </w:r>
          </w:p>
        </w:tc>
        <w:tc>
          <w:tcPr>
            <w:tcW w:w="3010"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6C2CF9E4"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$17,887,339.54</w:t>
            </w:r>
          </w:p>
        </w:tc>
      </w:tr>
      <w:tr w:rsidR="008A34AE" w14:paraId="25CABA81" w14:textId="77777777">
        <w:tc>
          <w:tcPr>
            <w:tcW w:w="3009" w:type="dxa"/>
            <w:tcBorders>
              <w:top w:val="nil"/>
              <w:left w:val="single" w:sz="4" w:space="0" w:color="000000"/>
              <w:bottom w:val="single" w:sz="4" w:space="0" w:color="000000"/>
              <w:right w:val="single" w:sz="4" w:space="0" w:color="000000"/>
            </w:tcBorders>
            <w:shd w:val="clear" w:color="auto" w:fill="31849B"/>
            <w:tcMar>
              <w:top w:w="100" w:type="dxa"/>
              <w:left w:w="100" w:type="dxa"/>
              <w:bottom w:w="100" w:type="dxa"/>
              <w:right w:w="100" w:type="dxa"/>
            </w:tcMar>
            <w:vAlign w:val="center"/>
          </w:tcPr>
          <w:p w14:paraId="660D60C5" w14:textId="77777777" w:rsidR="008A34AE" w:rsidRDefault="00F35562">
            <w:pPr>
              <w:widowControl w:val="0"/>
              <w:pBdr>
                <w:top w:val="nil"/>
                <w:left w:val="nil"/>
                <w:bottom w:val="nil"/>
                <w:right w:val="nil"/>
                <w:between w:val="nil"/>
              </w:pBdr>
              <w:spacing w:line="240" w:lineRule="auto"/>
              <w:contextualSpacing w:val="0"/>
              <w:rPr>
                <w:b/>
                <w:color w:val="FFFFFF"/>
                <w:sz w:val="20"/>
                <w:szCs w:val="20"/>
              </w:rPr>
            </w:pPr>
            <w:r>
              <w:rPr>
                <w:b/>
                <w:color w:val="FFFFFF"/>
                <w:sz w:val="20"/>
                <w:szCs w:val="20"/>
              </w:rPr>
              <w:t>Otros [1]</w:t>
            </w:r>
          </w:p>
        </w:tc>
        <w:tc>
          <w:tcPr>
            <w:tcW w:w="3010"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2A4663BF"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$218,702,786.66</w:t>
            </w:r>
          </w:p>
        </w:tc>
        <w:tc>
          <w:tcPr>
            <w:tcW w:w="3010"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696D6BBA"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$184,133,387.42</w:t>
            </w:r>
          </w:p>
        </w:tc>
      </w:tr>
      <w:tr w:rsidR="008A34AE" w14:paraId="5F8BC450" w14:textId="77777777">
        <w:tc>
          <w:tcPr>
            <w:tcW w:w="3009" w:type="dxa"/>
            <w:tcBorders>
              <w:top w:val="nil"/>
              <w:left w:val="single" w:sz="4" w:space="0" w:color="000000"/>
              <w:bottom w:val="single" w:sz="4" w:space="0" w:color="000000"/>
              <w:right w:val="single" w:sz="4" w:space="0" w:color="000000"/>
            </w:tcBorders>
            <w:shd w:val="clear" w:color="auto" w:fill="31849B"/>
            <w:tcMar>
              <w:top w:w="100" w:type="dxa"/>
              <w:left w:w="100" w:type="dxa"/>
              <w:bottom w:w="100" w:type="dxa"/>
              <w:right w:w="100" w:type="dxa"/>
            </w:tcMar>
            <w:vAlign w:val="center"/>
          </w:tcPr>
          <w:p w14:paraId="6D61AAF8" w14:textId="77777777" w:rsidR="008A34AE" w:rsidRDefault="00F35562">
            <w:pPr>
              <w:widowControl w:val="0"/>
              <w:pBdr>
                <w:top w:val="nil"/>
                <w:left w:val="nil"/>
                <w:bottom w:val="nil"/>
                <w:right w:val="nil"/>
                <w:between w:val="nil"/>
              </w:pBdr>
              <w:spacing w:line="240" w:lineRule="auto"/>
              <w:contextualSpacing w:val="0"/>
              <w:rPr>
                <w:b/>
                <w:color w:val="FFFFFF"/>
                <w:sz w:val="20"/>
                <w:szCs w:val="20"/>
              </w:rPr>
            </w:pPr>
            <w:r>
              <w:rPr>
                <w:b/>
                <w:color w:val="FFFFFF"/>
                <w:sz w:val="20"/>
                <w:szCs w:val="20"/>
              </w:rPr>
              <w:t>Patrimonio Cultural de la Nación</w:t>
            </w:r>
          </w:p>
        </w:tc>
        <w:tc>
          <w:tcPr>
            <w:tcW w:w="3010"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56E8F091"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$1,620,000.00</w:t>
            </w:r>
          </w:p>
        </w:tc>
        <w:tc>
          <w:tcPr>
            <w:tcW w:w="3010"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4161C9E9"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sidRPr="003D2907">
              <w:rPr>
                <w:color w:val="205968"/>
                <w:sz w:val="20"/>
                <w:szCs w:val="20"/>
              </w:rPr>
              <w:t>$-</w:t>
            </w:r>
          </w:p>
        </w:tc>
      </w:tr>
      <w:tr w:rsidR="008A34AE" w14:paraId="23AAA479" w14:textId="77777777">
        <w:tc>
          <w:tcPr>
            <w:tcW w:w="3009" w:type="dxa"/>
            <w:tcBorders>
              <w:top w:val="nil"/>
              <w:left w:val="single" w:sz="4" w:space="0" w:color="000000"/>
              <w:bottom w:val="single" w:sz="4" w:space="0" w:color="000000"/>
              <w:right w:val="single" w:sz="4" w:space="0" w:color="000000"/>
            </w:tcBorders>
            <w:shd w:val="clear" w:color="auto" w:fill="31849B"/>
            <w:tcMar>
              <w:top w:w="100" w:type="dxa"/>
              <w:left w:w="100" w:type="dxa"/>
              <w:bottom w:w="100" w:type="dxa"/>
              <w:right w:w="100" w:type="dxa"/>
            </w:tcMar>
            <w:vAlign w:val="center"/>
          </w:tcPr>
          <w:p w14:paraId="0FF714A5" w14:textId="77777777" w:rsidR="008A34AE" w:rsidRDefault="00F35562">
            <w:pPr>
              <w:widowControl w:val="0"/>
              <w:pBdr>
                <w:top w:val="nil"/>
                <w:left w:val="nil"/>
                <w:bottom w:val="nil"/>
                <w:right w:val="nil"/>
                <w:between w:val="nil"/>
              </w:pBdr>
              <w:spacing w:line="240" w:lineRule="auto"/>
              <w:contextualSpacing w:val="0"/>
              <w:rPr>
                <w:b/>
                <w:color w:val="FFFFFF"/>
                <w:sz w:val="20"/>
                <w:szCs w:val="20"/>
              </w:rPr>
            </w:pPr>
            <w:r>
              <w:rPr>
                <w:b/>
                <w:color w:val="FFFFFF"/>
                <w:sz w:val="20"/>
                <w:szCs w:val="20"/>
              </w:rPr>
              <w:t>Servicios Médico</w:t>
            </w:r>
            <w:r w:rsidR="00695337">
              <w:rPr>
                <w:b/>
                <w:color w:val="FFFFFF"/>
                <w:sz w:val="20"/>
                <w:szCs w:val="20"/>
              </w:rPr>
              <w:t>s</w:t>
            </w:r>
          </w:p>
        </w:tc>
        <w:tc>
          <w:tcPr>
            <w:tcW w:w="3010"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14DFC0C8"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$1,376,573.00</w:t>
            </w:r>
          </w:p>
        </w:tc>
        <w:tc>
          <w:tcPr>
            <w:tcW w:w="3010"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66F36D07"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$2,609,479.44</w:t>
            </w:r>
          </w:p>
        </w:tc>
      </w:tr>
      <w:tr w:rsidR="008A34AE" w14:paraId="76072B5B" w14:textId="77777777">
        <w:trPr>
          <w:trHeight w:val="440"/>
        </w:trPr>
        <w:tc>
          <w:tcPr>
            <w:tcW w:w="3009" w:type="dxa"/>
            <w:tcBorders>
              <w:top w:val="nil"/>
              <w:left w:val="single" w:sz="4" w:space="0" w:color="000000"/>
              <w:bottom w:val="single" w:sz="4" w:space="0" w:color="000000"/>
              <w:right w:val="single" w:sz="4" w:space="0" w:color="000000"/>
            </w:tcBorders>
            <w:shd w:val="clear" w:color="auto" w:fill="31849B"/>
            <w:tcMar>
              <w:top w:w="100" w:type="dxa"/>
              <w:left w:w="100" w:type="dxa"/>
              <w:bottom w:w="100" w:type="dxa"/>
              <w:right w:w="100" w:type="dxa"/>
            </w:tcMar>
            <w:vAlign w:val="center"/>
          </w:tcPr>
          <w:p w14:paraId="64748441" w14:textId="77777777" w:rsidR="008A34AE" w:rsidRDefault="00F35562">
            <w:pPr>
              <w:widowControl w:val="0"/>
              <w:pBdr>
                <w:top w:val="nil"/>
                <w:left w:val="nil"/>
                <w:bottom w:val="nil"/>
                <w:right w:val="nil"/>
                <w:between w:val="nil"/>
              </w:pBdr>
              <w:spacing w:line="240" w:lineRule="auto"/>
              <w:contextualSpacing w:val="0"/>
              <w:rPr>
                <w:b/>
                <w:color w:val="FFFFFF"/>
                <w:sz w:val="20"/>
                <w:szCs w:val="20"/>
              </w:rPr>
            </w:pPr>
            <w:r>
              <w:rPr>
                <w:b/>
                <w:color w:val="FFFFFF"/>
                <w:sz w:val="20"/>
                <w:szCs w:val="20"/>
              </w:rPr>
              <w:t>Viviendas</w:t>
            </w:r>
          </w:p>
        </w:tc>
        <w:tc>
          <w:tcPr>
            <w:tcW w:w="3010"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6502AAB2"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$383,984,126.82</w:t>
            </w:r>
          </w:p>
        </w:tc>
        <w:tc>
          <w:tcPr>
            <w:tcW w:w="3010"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325B5CE2" w14:textId="77777777" w:rsidR="008A34AE" w:rsidRDefault="00F35562">
            <w:pPr>
              <w:widowControl w:val="0"/>
              <w:pBdr>
                <w:top w:val="nil"/>
                <w:left w:val="nil"/>
                <w:bottom w:val="nil"/>
                <w:right w:val="nil"/>
                <w:between w:val="nil"/>
              </w:pBdr>
              <w:spacing w:line="240" w:lineRule="auto"/>
              <w:contextualSpacing w:val="0"/>
              <w:jc w:val="center"/>
              <w:rPr>
                <w:color w:val="205968"/>
                <w:sz w:val="20"/>
                <w:szCs w:val="20"/>
              </w:rPr>
            </w:pPr>
            <w:r>
              <w:rPr>
                <w:color w:val="205968"/>
                <w:sz w:val="20"/>
                <w:szCs w:val="20"/>
              </w:rPr>
              <w:t>$4,972,290.00</w:t>
            </w:r>
          </w:p>
        </w:tc>
      </w:tr>
      <w:tr w:rsidR="008A34AE" w14:paraId="68B850DF" w14:textId="77777777">
        <w:tc>
          <w:tcPr>
            <w:tcW w:w="3009" w:type="dxa"/>
            <w:tcBorders>
              <w:top w:val="single" w:sz="4" w:space="0" w:color="000000"/>
              <w:left w:val="single" w:sz="4" w:space="0" w:color="000000"/>
              <w:bottom w:val="single" w:sz="4" w:space="0" w:color="000000"/>
              <w:right w:val="single" w:sz="4" w:space="0" w:color="000000"/>
            </w:tcBorders>
            <w:shd w:val="clear" w:color="auto" w:fill="205968"/>
            <w:tcMar>
              <w:top w:w="100" w:type="dxa"/>
              <w:left w:w="100" w:type="dxa"/>
              <w:bottom w:w="100" w:type="dxa"/>
              <w:right w:w="100" w:type="dxa"/>
            </w:tcMar>
          </w:tcPr>
          <w:p w14:paraId="0C17396C" w14:textId="77777777" w:rsidR="008A34AE" w:rsidRDefault="00F35562">
            <w:pPr>
              <w:widowControl w:val="0"/>
              <w:pBdr>
                <w:top w:val="nil"/>
                <w:left w:val="nil"/>
                <w:bottom w:val="nil"/>
                <w:right w:val="nil"/>
                <w:between w:val="nil"/>
              </w:pBdr>
              <w:spacing w:line="240" w:lineRule="auto"/>
              <w:contextualSpacing w:val="0"/>
              <w:rPr>
                <w:b/>
                <w:color w:val="FFFFFF"/>
                <w:sz w:val="20"/>
                <w:szCs w:val="20"/>
              </w:rPr>
            </w:pPr>
            <w:r>
              <w:rPr>
                <w:b/>
                <w:color w:val="FFFFFF"/>
                <w:sz w:val="20"/>
                <w:szCs w:val="20"/>
              </w:rPr>
              <w:t xml:space="preserve">Total </w:t>
            </w:r>
          </w:p>
        </w:tc>
        <w:tc>
          <w:tcPr>
            <w:tcW w:w="3010" w:type="dxa"/>
            <w:tcBorders>
              <w:top w:val="single" w:sz="4" w:space="0" w:color="000000"/>
              <w:left w:val="single" w:sz="4" w:space="0" w:color="000000"/>
              <w:bottom w:val="single" w:sz="4" w:space="0" w:color="000000"/>
              <w:right w:val="single" w:sz="4" w:space="0" w:color="000000"/>
            </w:tcBorders>
            <w:shd w:val="clear" w:color="auto" w:fill="205968"/>
            <w:tcMar>
              <w:top w:w="100" w:type="dxa"/>
              <w:left w:w="100" w:type="dxa"/>
              <w:bottom w:w="100" w:type="dxa"/>
              <w:right w:w="100" w:type="dxa"/>
            </w:tcMar>
          </w:tcPr>
          <w:p w14:paraId="7202A558" w14:textId="77777777" w:rsidR="008A34AE" w:rsidRDefault="00F35562">
            <w:pPr>
              <w:widowControl w:val="0"/>
              <w:pBdr>
                <w:top w:val="nil"/>
                <w:left w:val="nil"/>
                <w:bottom w:val="nil"/>
                <w:right w:val="nil"/>
                <w:between w:val="nil"/>
              </w:pBdr>
              <w:spacing w:line="240" w:lineRule="auto"/>
              <w:contextualSpacing w:val="0"/>
              <w:jc w:val="center"/>
              <w:rPr>
                <w:b/>
                <w:color w:val="FFFFFF"/>
                <w:sz w:val="20"/>
                <w:szCs w:val="20"/>
              </w:rPr>
            </w:pPr>
            <w:r>
              <w:rPr>
                <w:b/>
                <w:color w:val="FFFFFF"/>
                <w:sz w:val="20"/>
                <w:szCs w:val="20"/>
              </w:rPr>
              <w:t xml:space="preserve"> $617,766,528.48</w:t>
            </w:r>
          </w:p>
        </w:tc>
        <w:tc>
          <w:tcPr>
            <w:tcW w:w="3010" w:type="dxa"/>
            <w:tcBorders>
              <w:top w:val="single" w:sz="4" w:space="0" w:color="000000"/>
              <w:left w:val="single" w:sz="4" w:space="0" w:color="000000"/>
              <w:bottom w:val="single" w:sz="4" w:space="0" w:color="000000"/>
              <w:right w:val="single" w:sz="4" w:space="0" w:color="000000"/>
            </w:tcBorders>
            <w:shd w:val="clear" w:color="auto" w:fill="205968"/>
            <w:tcMar>
              <w:top w:w="100" w:type="dxa"/>
              <w:left w:w="100" w:type="dxa"/>
              <w:bottom w:w="100" w:type="dxa"/>
              <w:right w:w="100" w:type="dxa"/>
            </w:tcMar>
          </w:tcPr>
          <w:p w14:paraId="6A8E1B40" w14:textId="77777777" w:rsidR="008A34AE" w:rsidRDefault="00F35562">
            <w:pPr>
              <w:widowControl w:val="0"/>
              <w:pBdr>
                <w:top w:val="nil"/>
                <w:left w:val="nil"/>
                <w:bottom w:val="nil"/>
                <w:right w:val="nil"/>
                <w:between w:val="nil"/>
              </w:pBdr>
              <w:spacing w:line="240" w:lineRule="auto"/>
              <w:contextualSpacing w:val="0"/>
              <w:jc w:val="center"/>
              <w:rPr>
                <w:b/>
                <w:color w:val="FFFFFF"/>
                <w:sz w:val="20"/>
                <w:szCs w:val="20"/>
              </w:rPr>
            </w:pPr>
            <w:r>
              <w:rPr>
                <w:b/>
                <w:color w:val="FFFFFF"/>
                <w:sz w:val="20"/>
                <w:szCs w:val="20"/>
              </w:rPr>
              <w:t xml:space="preserve"> $211,850,950.40</w:t>
            </w:r>
          </w:p>
        </w:tc>
      </w:tr>
    </w:tbl>
    <w:p w14:paraId="02036710" w14:textId="77777777" w:rsidR="008A34AE" w:rsidRDefault="00F35562">
      <w:pPr>
        <w:contextualSpacing w:val="0"/>
        <w:jc w:val="both"/>
        <w:rPr>
          <w:color w:val="595959"/>
          <w:sz w:val="16"/>
          <w:szCs w:val="16"/>
        </w:rPr>
      </w:pPr>
      <w:r>
        <w:rPr>
          <w:b/>
          <w:color w:val="595959"/>
          <w:sz w:val="16"/>
          <w:szCs w:val="16"/>
        </w:rPr>
        <w:t xml:space="preserve">Fuente: </w:t>
      </w:r>
      <w:r>
        <w:rPr>
          <w:color w:val="595959"/>
          <w:sz w:val="16"/>
          <w:szCs w:val="16"/>
        </w:rPr>
        <w:t>Elaboración propia con datos de la base publicada por el SAT al 31 de mayo de 2018, consultada el 6 de septiembre de 2018</w:t>
      </w:r>
      <w:r w:rsidR="003D2907">
        <w:rPr>
          <w:color w:val="595959"/>
          <w:sz w:val="16"/>
          <w:szCs w:val="16"/>
        </w:rPr>
        <w:t>.</w:t>
      </w:r>
    </w:p>
    <w:p w14:paraId="57958171" w14:textId="77777777" w:rsidR="008A34AE" w:rsidRDefault="00F35562">
      <w:pPr>
        <w:contextualSpacing w:val="0"/>
        <w:jc w:val="both"/>
        <w:rPr>
          <w:color w:val="595959"/>
          <w:sz w:val="16"/>
          <w:szCs w:val="16"/>
        </w:rPr>
      </w:pPr>
      <w:r>
        <w:rPr>
          <w:color w:val="595959"/>
          <w:sz w:val="16"/>
          <w:szCs w:val="16"/>
        </w:rPr>
        <w:t xml:space="preserve">[1] “Otros” </w:t>
      </w:r>
      <w:r w:rsidR="003D2907">
        <w:rPr>
          <w:color w:val="595959"/>
          <w:sz w:val="16"/>
          <w:szCs w:val="16"/>
        </w:rPr>
        <w:t>i</w:t>
      </w:r>
      <w:r>
        <w:rPr>
          <w:color w:val="595959"/>
          <w:sz w:val="16"/>
          <w:szCs w:val="16"/>
        </w:rPr>
        <w:t>ncluye categorías, como transporte, gasolina, artículos de higiene personal, equipo de cómputo, materiales de construcción, casas de campaña, víveres, calzado, entre otros.</w:t>
      </w:r>
    </w:p>
    <w:p w14:paraId="1D93A179" w14:textId="77777777" w:rsidR="008A34AE" w:rsidRDefault="008A34AE">
      <w:pPr>
        <w:contextualSpacing w:val="0"/>
        <w:jc w:val="center"/>
        <w:rPr>
          <w:b/>
          <w:color w:val="0000FF"/>
        </w:rPr>
      </w:pPr>
    </w:p>
    <w:p w14:paraId="43A66C22" w14:textId="77777777" w:rsidR="008A34AE" w:rsidRDefault="00F35562">
      <w:pPr>
        <w:contextualSpacing w:val="0"/>
        <w:jc w:val="center"/>
        <w:rPr>
          <w:b/>
          <w:color w:val="595959"/>
        </w:rPr>
      </w:pPr>
      <w:r>
        <w:rPr>
          <w:b/>
          <w:color w:val="595959"/>
        </w:rPr>
        <w:t>Tabla 14. Distribución de los recursos por sector beneficiado y tipo de apoyo</w:t>
      </w:r>
      <w:r w:rsidR="003D2907">
        <w:rPr>
          <w:b/>
          <w:color w:val="595959"/>
        </w:rPr>
        <w:t>: Otros</w:t>
      </w:r>
    </w:p>
    <w:tbl>
      <w:tblPr>
        <w:tblStyle w:val="ac"/>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8A34AE" w14:paraId="1528D3E3" w14:textId="77777777">
        <w:tc>
          <w:tcPr>
            <w:tcW w:w="3009" w:type="dxa"/>
            <w:tcBorders>
              <w:top w:val="single" w:sz="4" w:space="0" w:color="000000"/>
              <w:left w:val="single" w:sz="4" w:space="0" w:color="000000"/>
              <w:bottom w:val="single" w:sz="4" w:space="0" w:color="000000"/>
              <w:right w:val="single" w:sz="4" w:space="0" w:color="000000"/>
            </w:tcBorders>
            <w:shd w:val="clear" w:color="auto" w:fill="205968"/>
            <w:tcMar>
              <w:top w:w="100" w:type="dxa"/>
              <w:left w:w="100" w:type="dxa"/>
              <w:bottom w:w="100" w:type="dxa"/>
              <w:right w:w="100" w:type="dxa"/>
            </w:tcMar>
            <w:vAlign w:val="center"/>
          </w:tcPr>
          <w:p w14:paraId="628F31A3" w14:textId="77777777" w:rsidR="008A34AE" w:rsidRDefault="00F35562">
            <w:pPr>
              <w:widowControl w:val="0"/>
              <w:contextualSpacing w:val="0"/>
              <w:jc w:val="center"/>
              <w:rPr>
                <w:b/>
                <w:color w:val="FFFFFF"/>
                <w:sz w:val="20"/>
                <w:szCs w:val="20"/>
              </w:rPr>
            </w:pPr>
            <w:r>
              <w:rPr>
                <w:b/>
                <w:color w:val="FFFFFF"/>
                <w:sz w:val="20"/>
                <w:szCs w:val="20"/>
              </w:rPr>
              <w:t xml:space="preserve">Sector </w:t>
            </w:r>
            <w:r w:rsidR="003D2907">
              <w:rPr>
                <w:b/>
                <w:color w:val="FFFFFF"/>
                <w:sz w:val="20"/>
                <w:szCs w:val="20"/>
              </w:rPr>
              <w:t>b</w:t>
            </w:r>
            <w:r>
              <w:rPr>
                <w:b/>
                <w:color w:val="FFFFFF"/>
                <w:sz w:val="20"/>
                <w:szCs w:val="20"/>
              </w:rPr>
              <w:t>eneficiado: Otros</w:t>
            </w:r>
          </w:p>
        </w:tc>
        <w:tc>
          <w:tcPr>
            <w:tcW w:w="3010" w:type="dxa"/>
            <w:tcBorders>
              <w:top w:val="single" w:sz="4" w:space="0" w:color="000000"/>
              <w:left w:val="single" w:sz="4" w:space="0" w:color="000000"/>
              <w:bottom w:val="single" w:sz="4" w:space="0" w:color="000000"/>
              <w:right w:val="single" w:sz="4" w:space="0" w:color="000000"/>
            </w:tcBorders>
            <w:shd w:val="clear" w:color="auto" w:fill="205968"/>
            <w:tcMar>
              <w:top w:w="100" w:type="dxa"/>
              <w:left w:w="100" w:type="dxa"/>
              <w:bottom w:w="100" w:type="dxa"/>
              <w:right w:w="100" w:type="dxa"/>
            </w:tcMar>
            <w:vAlign w:val="center"/>
          </w:tcPr>
          <w:p w14:paraId="2A701986" w14:textId="253C7B17" w:rsidR="008A34AE" w:rsidRDefault="003D2907">
            <w:pPr>
              <w:widowControl w:val="0"/>
              <w:spacing w:line="240" w:lineRule="auto"/>
              <w:contextualSpacing w:val="0"/>
              <w:jc w:val="center"/>
              <w:rPr>
                <w:b/>
                <w:color w:val="FFFFFF"/>
                <w:sz w:val="20"/>
                <w:szCs w:val="20"/>
              </w:rPr>
            </w:pPr>
            <w:r>
              <w:rPr>
                <w:b/>
                <w:color w:val="FFFFFF"/>
                <w:sz w:val="20"/>
                <w:szCs w:val="20"/>
              </w:rPr>
              <w:t>Suma de valor monetario del efectivo ejercido</w:t>
            </w:r>
          </w:p>
        </w:tc>
        <w:tc>
          <w:tcPr>
            <w:tcW w:w="3010" w:type="dxa"/>
            <w:tcBorders>
              <w:top w:val="single" w:sz="4" w:space="0" w:color="000000"/>
              <w:left w:val="single" w:sz="4" w:space="0" w:color="000000"/>
              <w:bottom w:val="single" w:sz="4" w:space="0" w:color="000000"/>
              <w:right w:val="single" w:sz="4" w:space="0" w:color="000000"/>
            </w:tcBorders>
            <w:shd w:val="clear" w:color="auto" w:fill="205968"/>
            <w:tcMar>
              <w:top w:w="100" w:type="dxa"/>
              <w:left w:w="100" w:type="dxa"/>
              <w:bottom w:w="100" w:type="dxa"/>
              <w:right w:w="100" w:type="dxa"/>
            </w:tcMar>
            <w:vAlign w:val="center"/>
          </w:tcPr>
          <w:p w14:paraId="29900552" w14:textId="77777777" w:rsidR="008A34AE" w:rsidRDefault="003D2907">
            <w:pPr>
              <w:widowControl w:val="0"/>
              <w:spacing w:line="240" w:lineRule="auto"/>
              <w:contextualSpacing w:val="0"/>
              <w:jc w:val="center"/>
              <w:rPr>
                <w:b/>
                <w:color w:val="FFFFFF"/>
                <w:sz w:val="20"/>
                <w:szCs w:val="20"/>
              </w:rPr>
            </w:pPr>
            <w:r>
              <w:rPr>
                <w:b/>
                <w:color w:val="FFFFFF"/>
                <w:sz w:val="20"/>
                <w:szCs w:val="20"/>
              </w:rPr>
              <w:t>Suma de valor monetario de los recursos en especie ejercido</w:t>
            </w:r>
          </w:p>
        </w:tc>
      </w:tr>
      <w:tr w:rsidR="008A34AE" w14:paraId="0D4128E4" w14:textId="77777777">
        <w:tc>
          <w:tcPr>
            <w:tcW w:w="3009" w:type="dxa"/>
            <w:tcBorders>
              <w:top w:val="nil"/>
              <w:left w:val="single" w:sz="4" w:space="0" w:color="000000"/>
              <w:bottom w:val="single" w:sz="4" w:space="0" w:color="000000"/>
              <w:right w:val="single" w:sz="4" w:space="0" w:color="000000"/>
            </w:tcBorders>
            <w:shd w:val="clear" w:color="auto" w:fill="31849B"/>
            <w:tcMar>
              <w:top w:w="100" w:type="dxa"/>
              <w:left w:w="100" w:type="dxa"/>
              <w:bottom w:w="100" w:type="dxa"/>
              <w:right w:w="100" w:type="dxa"/>
            </w:tcMar>
            <w:vAlign w:val="center"/>
          </w:tcPr>
          <w:p w14:paraId="5A556EAD" w14:textId="77777777" w:rsidR="008A34AE" w:rsidRDefault="00F35562">
            <w:pPr>
              <w:widowControl w:val="0"/>
              <w:spacing w:line="240" w:lineRule="auto"/>
              <w:contextualSpacing w:val="0"/>
              <w:rPr>
                <w:b/>
                <w:color w:val="FFFFFF"/>
                <w:sz w:val="20"/>
                <w:szCs w:val="20"/>
              </w:rPr>
            </w:pPr>
            <w:r>
              <w:rPr>
                <w:b/>
                <w:color w:val="FFFFFF"/>
                <w:sz w:val="20"/>
                <w:szCs w:val="20"/>
              </w:rPr>
              <w:t>Acciones de rescate</w:t>
            </w:r>
          </w:p>
        </w:tc>
        <w:tc>
          <w:tcPr>
            <w:tcW w:w="3010"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1A83BA11" w14:textId="77777777" w:rsidR="008A34AE" w:rsidRDefault="00F35562">
            <w:pPr>
              <w:widowControl w:val="0"/>
              <w:spacing w:line="240" w:lineRule="auto"/>
              <w:contextualSpacing w:val="0"/>
              <w:jc w:val="center"/>
              <w:rPr>
                <w:color w:val="205968"/>
                <w:sz w:val="20"/>
                <w:szCs w:val="20"/>
              </w:rPr>
            </w:pPr>
            <w:r>
              <w:rPr>
                <w:color w:val="205968"/>
                <w:sz w:val="20"/>
                <w:szCs w:val="20"/>
              </w:rPr>
              <w:t>$5,862,704.00</w:t>
            </w:r>
          </w:p>
        </w:tc>
        <w:tc>
          <w:tcPr>
            <w:tcW w:w="3010"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4A85E223" w14:textId="77777777" w:rsidR="008A34AE" w:rsidRDefault="00F35562">
            <w:pPr>
              <w:widowControl w:val="0"/>
              <w:spacing w:line="240" w:lineRule="auto"/>
              <w:contextualSpacing w:val="0"/>
              <w:jc w:val="center"/>
              <w:rPr>
                <w:color w:val="205968"/>
                <w:sz w:val="20"/>
                <w:szCs w:val="20"/>
              </w:rPr>
            </w:pPr>
            <w:r>
              <w:rPr>
                <w:color w:val="205968"/>
                <w:sz w:val="20"/>
                <w:szCs w:val="20"/>
              </w:rPr>
              <w:t>$17,990,182.38</w:t>
            </w:r>
          </w:p>
        </w:tc>
      </w:tr>
      <w:tr w:rsidR="008A34AE" w14:paraId="3F993007" w14:textId="77777777">
        <w:tc>
          <w:tcPr>
            <w:tcW w:w="3009" w:type="dxa"/>
            <w:tcBorders>
              <w:top w:val="nil"/>
              <w:left w:val="single" w:sz="4" w:space="0" w:color="000000"/>
              <w:bottom w:val="single" w:sz="4" w:space="0" w:color="000000"/>
              <w:right w:val="single" w:sz="4" w:space="0" w:color="000000"/>
            </w:tcBorders>
            <w:shd w:val="clear" w:color="auto" w:fill="31849B"/>
            <w:tcMar>
              <w:top w:w="100" w:type="dxa"/>
              <w:left w:w="100" w:type="dxa"/>
              <w:bottom w:w="100" w:type="dxa"/>
              <w:right w:w="100" w:type="dxa"/>
            </w:tcMar>
            <w:vAlign w:val="center"/>
          </w:tcPr>
          <w:p w14:paraId="17CA73F2" w14:textId="77777777" w:rsidR="008A34AE" w:rsidRDefault="00F35562">
            <w:pPr>
              <w:widowControl w:val="0"/>
              <w:spacing w:line="240" w:lineRule="auto"/>
              <w:contextualSpacing w:val="0"/>
              <w:rPr>
                <w:b/>
                <w:color w:val="FFFFFF"/>
                <w:sz w:val="20"/>
                <w:szCs w:val="20"/>
              </w:rPr>
            </w:pPr>
            <w:r>
              <w:rPr>
                <w:b/>
                <w:color w:val="FFFFFF"/>
                <w:sz w:val="20"/>
                <w:szCs w:val="20"/>
              </w:rPr>
              <w:t>Alimentos</w:t>
            </w:r>
          </w:p>
        </w:tc>
        <w:tc>
          <w:tcPr>
            <w:tcW w:w="3010"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4CCEB878" w14:textId="77777777" w:rsidR="008A34AE" w:rsidRDefault="00F35562">
            <w:pPr>
              <w:widowControl w:val="0"/>
              <w:spacing w:line="240" w:lineRule="auto"/>
              <w:contextualSpacing w:val="0"/>
              <w:jc w:val="center"/>
              <w:rPr>
                <w:color w:val="205968"/>
                <w:sz w:val="20"/>
                <w:szCs w:val="20"/>
              </w:rPr>
            </w:pPr>
            <w:r>
              <w:rPr>
                <w:color w:val="205968"/>
                <w:sz w:val="20"/>
                <w:szCs w:val="20"/>
              </w:rPr>
              <w:t>$7,724,375.00</w:t>
            </w:r>
          </w:p>
        </w:tc>
        <w:tc>
          <w:tcPr>
            <w:tcW w:w="3010"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3187BE38" w14:textId="77777777" w:rsidR="008A34AE" w:rsidRDefault="00F35562">
            <w:pPr>
              <w:widowControl w:val="0"/>
              <w:spacing w:line="240" w:lineRule="auto"/>
              <w:contextualSpacing w:val="0"/>
              <w:jc w:val="center"/>
              <w:rPr>
                <w:color w:val="205968"/>
                <w:sz w:val="20"/>
                <w:szCs w:val="20"/>
              </w:rPr>
            </w:pPr>
            <w:r>
              <w:rPr>
                <w:color w:val="205968"/>
                <w:sz w:val="20"/>
                <w:szCs w:val="20"/>
              </w:rPr>
              <w:t>$124,298,765.95</w:t>
            </w:r>
          </w:p>
        </w:tc>
      </w:tr>
      <w:tr w:rsidR="008A34AE" w14:paraId="454193CF" w14:textId="77777777">
        <w:tc>
          <w:tcPr>
            <w:tcW w:w="3009" w:type="dxa"/>
            <w:tcBorders>
              <w:top w:val="nil"/>
              <w:left w:val="single" w:sz="4" w:space="0" w:color="000000"/>
              <w:bottom w:val="single" w:sz="4" w:space="0" w:color="000000"/>
              <w:right w:val="single" w:sz="4" w:space="0" w:color="000000"/>
            </w:tcBorders>
            <w:shd w:val="clear" w:color="auto" w:fill="31849B"/>
            <w:tcMar>
              <w:top w:w="100" w:type="dxa"/>
              <w:left w:w="100" w:type="dxa"/>
              <w:bottom w:w="100" w:type="dxa"/>
              <w:right w:w="100" w:type="dxa"/>
            </w:tcMar>
            <w:vAlign w:val="center"/>
          </w:tcPr>
          <w:p w14:paraId="72D45388" w14:textId="77777777" w:rsidR="008A34AE" w:rsidRDefault="00F35562">
            <w:pPr>
              <w:widowControl w:val="0"/>
              <w:spacing w:line="240" w:lineRule="auto"/>
              <w:contextualSpacing w:val="0"/>
              <w:rPr>
                <w:b/>
                <w:color w:val="FFFFFF"/>
                <w:sz w:val="20"/>
                <w:szCs w:val="20"/>
              </w:rPr>
            </w:pPr>
            <w:r>
              <w:rPr>
                <w:b/>
                <w:color w:val="FFFFFF"/>
                <w:sz w:val="20"/>
                <w:szCs w:val="20"/>
              </w:rPr>
              <w:t>Otros [1]</w:t>
            </w:r>
          </w:p>
        </w:tc>
        <w:tc>
          <w:tcPr>
            <w:tcW w:w="3010"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56958430" w14:textId="77777777" w:rsidR="008A34AE" w:rsidRDefault="00F35562">
            <w:pPr>
              <w:widowControl w:val="0"/>
              <w:spacing w:line="240" w:lineRule="auto"/>
              <w:contextualSpacing w:val="0"/>
              <w:jc w:val="center"/>
              <w:rPr>
                <w:color w:val="205968"/>
                <w:sz w:val="20"/>
                <w:szCs w:val="20"/>
              </w:rPr>
            </w:pPr>
            <w:r>
              <w:rPr>
                <w:color w:val="205968"/>
                <w:sz w:val="20"/>
                <w:szCs w:val="20"/>
              </w:rPr>
              <w:t>$261,624,714.94</w:t>
            </w:r>
          </w:p>
        </w:tc>
        <w:tc>
          <w:tcPr>
            <w:tcW w:w="3010"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40FD01F9" w14:textId="77777777" w:rsidR="008A34AE" w:rsidRDefault="00F35562">
            <w:pPr>
              <w:widowControl w:val="0"/>
              <w:spacing w:line="240" w:lineRule="auto"/>
              <w:contextualSpacing w:val="0"/>
              <w:jc w:val="center"/>
              <w:rPr>
                <w:color w:val="205968"/>
                <w:sz w:val="20"/>
                <w:szCs w:val="20"/>
              </w:rPr>
            </w:pPr>
            <w:r>
              <w:rPr>
                <w:color w:val="205968"/>
                <w:sz w:val="20"/>
                <w:szCs w:val="20"/>
              </w:rPr>
              <w:t>$123,816,388.41</w:t>
            </w:r>
          </w:p>
        </w:tc>
      </w:tr>
      <w:tr w:rsidR="008A34AE" w14:paraId="0AAFD672" w14:textId="77777777">
        <w:tc>
          <w:tcPr>
            <w:tcW w:w="3009" w:type="dxa"/>
            <w:tcBorders>
              <w:top w:val="nil"/>
              <w:left w:val="single" w:sz="4" w:space="0" w:color="000000"/>
              <w:bottom w:val="single" w:sz="4" w:space="0" w:color="000000"/>
              <w:right w:val="single" w:sz="4" w:space="0" w:color="000000"/>
            </w:tcBorders>
            <w:shd w:val="clear" w:color="auto" w:fill="31849B"/>
            <w:tcMar>
              <w:top w:w="100" w:type="dxa"/>
              <w:left w:w="100" w:type="dxa"/>
              <w:bottom w:w="100" w:type="dxa"/>
              <w:right w:w="100" w:type="dxa"/>
            </w:tcMar>
            <w:vAlign w:val="center"/>
          </w:tcPr>
          <w:p w14:paraId="7FD04AAE" w14:textId="77777777" w:rsidR="008A34AE" w:rsidRDefault="00F35562">
            <w:pPr>
              <w:widowControl w:val="0"/>
              <w:spacing w:line="240" w:lineRule="auto"/>
              <w:contextualSpacing w:val="0"/>
              <w:rPr>
                <w:b/>
                <w:color w:val="FFFFFF"/>
                <w:sz w:val="20"/>
                <w:szCs w:val="20"/>
              </w:rPr>
            </w:pPr>
            <w:r>
              <w:rPr>
                <w:b/>
                <w:color w:val="FFFFFF"/>
                <w:sz w:val="20"/>
                <w:szCs w:val="20"/>
              </w:rPr>
              <w:t>Patrimonio Cultural de la Nación</w:t>
            </w:r>
          </w:p>
        </w:tc>
        <w:tc>
          <w:tcPr>
            <w:tcW w:w="3010"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74CDF749" w14:textId="77777777" w:rsidR="008A34AE" w:rsidRDefault="00F35562">
            <w:pPr>
              <w:widowControl w:val="0"/>
              <w:spacing w:line="240" w:lineRule="auto"/>
              <w:contextualSpacing w:val="0"/>
              <w:jc w:val="center"/>
              <w:rPr>
                <w:color w:val="205968"/>
                <w:sz w:val="20"/>
                <w:szCs w:val="20"/>
              </w:rPr>
            </w:pPr>
            <w:r>
              <w:rPr>
                <w:color w:val="205968"/>
                <w:sz w:val="20"/>
                <w:szCs w:val="20"/>
              </w:rPr>
              <w:t>$13,428,641.00</w:t>
            </w:r>
          </w:p>
        </w:tc>
        <w:tc>
          <w:tcPr>
            <w:tcW w:w="3010"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1C9491F3" w14:textId="77777777" w:rsidR="008A34AE" w:rsidRDefault="00F35562">
            <w:pPr>
              <w:widowControl w:val="0"/>
              <w:spacing w:line="240" w:lineRule="auto"/>
              <w:contextualSpacing w:val="0"/>
              <w:jc w:val="center"/>
              <w:rPr>
                <w:color w:val="205968"/>
                <w:sz w:val="20"/>
                <w:szCs w:val="20"/>
              </w:rPr>
            </w:pPr>
            <w:r>
              <w:rPr>
                <w:color w:val="205968"/>
                <w:sz w:val="20"/>
                <w:szCs w:val="20"/>
              </w:rPr>
              <w:t>$-</w:t>
            </w:r>
          </w:p>
        </w:tc>
      </w:tr>
      <w:tr w:rsidR="008A34AE" w14:paraId="6F0FBAD3" w14:textId="77777777">
        <w:tc>
          <w:tcPr>
            <w:tcW w:w="3009" w:type="dxa"/>
            <w:tcBorders>
              <w:top w:val="nil"/>
              <w:left w:val="single" w:sz="4" w:space="0" w:color="000000"/>
              <w:bottom w:val="single" w:sz="4" w:space="0" w:color="000000"/>
              <w:right w:val="single" w:sz="4" w:space="0" w:color="000000"/>
            </w:tcBorders>
            <w:shd w:val="clear" w:color="auto" w:fill="31849B"/>
            <w:tcMar>
              <w:top w:w="100" w:type="dxa"/>
              <w:left w:w="100" w:type="dxa"/>
              <w:bottom w:w="100" w:type="dxa"/>
              <w:right w:w="100" w:type="dxa"/>
            </w:tcMar>
            <w:vAlign w:val="center"/>
          </w:tcPr>
          <w:p w14:paraId="16C28B9D" w14:textId="77777777" w:rsidR="008A34AE" w:rsidRDefault="00F35562">
            <w:pPr>
              <w:widowControl w:val="0"/>
              <w:spacing w:line="240" w:lineRule="auto"/>
              <w:contextualSpacing w:val="0"/>
              <w:rPr>
                <w:b/>
                <w:color w:val="FFFFFF"/>
                <w:sz w:val="20"/>
                <w:szCs w:val="20"/>
              </w:rPr>
            </w:pPr>
            <w:r>
              <w:rPr>
                <w:b/>
                <w:color w:val="FFFFFF"/>
                <w:sz w:val="20"/>
                <w:szCs w:val="20"/>
              </w:rPr>
              <w:t>Servicios Funerarios</w:t>
            </w:r>
          </w:p>
        </w:tc>
        <w:tc>
          <w:tcPr>
            <w:tcW w:w="3010"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4072C25A" w14:textId="77777777" w:rsidR="008A34AE" w:rsidRDefault="00F35562">
            <w:pPr>
              <w:widowControl w:val="0"/>
              <w:spacing w:line="240" w:lineRule="auto"/>
              <w:contextualSpacing w:val="0"/>
              <w:jc w:val="center"/>
              <w:rPr>
                <w:color w:val="205968"/>
                <w:sz w:val="20"/>
                <w:szCs w:val="20"/>
              </w:rPr>
            </w:pPr>
            <w:r>
              <w:rPr>
                <w:color w:val="205968"/>
                <w:sz w:val="20"/>
                <w:szCs w:val="20"/>
              </w:rPr>
              <w:t>$124,206.00</w:t>
            </w:r>
          </w:p>
        </w:tc>
        <w:tc>
          <w:tcPr>
            <w:tcW w:w="3010"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0D96D901" w14:textId="77777777" w:rsidR="008A34AE" w:rsidRDefault="00F35562">
            <w:pPr>
              <w:widowControl w:val="0"/>
              <w:spacing w:line="240" w:lineRule="auto"/>
              <w:contextualSpacing w:val="0"/>
              <w:jc w:val="center"/>
              <w:rPr>
                <w:color w:val="205968"/>
                <w:sz w:val="20"/>
                <w:szCs w:val="20"/>
              </w:rPr>
            </w:pPr>
            <w:r>
              <w:rPr>
                <w:color w:val="205968"/>
                <w:sz w:val="20"/>
                <w:szCs w:val="20"/>
              </w:rPr>
              <w:t>$-</w:t>
            </w:r>
          </w:p>
        </w:tc>
      </w:tr>
      <w:tr w:rsidR="008A34AE" w14:paraId="0AEDFC0D" w14:textId="77777777">
        <w:tc>
          <w:tcPr>
            <w:tcW w:w="3009" w:type="dxa"/>
            <w:tcBorders>
              <w:top w:val="nil"/>
              <w:left w:val="single" w:sz="4" w:space="0" w:color="000000"/>
              <w:bottom w:val="single" w:sz="4" w:space="0" w:color="000000"/>
              <w:right w:val="single" w:sz="4" w:space="0" w:color="000000"/>
            </w:tcBorders>
            <w:shd w:val="clear" w:color="auto" w:fill="31849B"/>
            <w:tcMar>
              <w:top w:w="100" w:type="dxa"/>
              <w:left w:w="100" w:type="dxa"/>
              <w:bottom w:w="100" w:type="dxa"/>
              <w:right w:w="100" w:type="dxa"/>
            </w:tcMar>
            <w:vAlign w:val="center"/>
          </w:tcPr>
          <w:p w14:paraId="497F2B16" w14:textId="77777777" w:rsidR="008A34AE" w:rsidRDefault="00F35562">
            <w:pPr>
              <w:widowControl w:val="0"/>
              <w:spacing w:line="240" w:lineRule="auto"/>
              <w:contextualSpacing w:val="0"/>
              <w:rPr>
                <w:b/>
                <w:color w:val="FFFFFF"/>
                <w:sz w:val="20"/>
                <w:szCs w:val="20"/>
              </w:rPr>
            </w:pPr>
            <w:r>
              <w:rPr>
                <w:b/>
                <w:color w:val="FFFFFF"/>
                <w:sz w:val="20"/>
                <w:szCs w:val="20"/>
              </w:rPr>
              <w:t>Servicios Médico</w:t>
            </w:r>
            <w:r w:rsidR="003D2907">
              <w:rPr>
                <w:b/>
                <w:color w:val="FFFFFF"/>
                <w:sz w:val="20"/>
                <w:szCs w:val="20"/>
              </w:rPr>
              <w:t>s</w:t>
            </w:r>
          </w:p>
        </w:tc>
        <w:tc>
          <w:tcPr>
            <w:tcW w:w="3010"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2EA4BD57" w14:textId="77777777" w:rsidR="008A34AE" w:rsidRDefault="00F35562">
            <w:pPr>
              <w:widowControl w:val="0"/>
              <w:spacing w:line="240" w:lineRule="auto"/>
              <w:contextualSpacing w:val="0"/>
              <w:jc w:val="center"/>
              <w:rPr>
                <w:color w:val="205968"/>
                <w:sz w:val="20"/>
                <w:szCs w:val="20"/>
              </w:rPr>
            </w:pPr>
            <w:r>
              <w:rPr>
                <w:color w:val="205968"/>
                <w:sz w:val="20"/>
                <w:szCs w:val="20"/>
              </w:rPr>
              <w:t>$22,836,265.35</w:t>
            </w:r>
          </w:p>
        </w:tc>
        <w:tc>
          <w:tcPr>
            <w:tcW w:w="3010"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01007DFD" w14:textId="77777777" w:rsidR="008A34AE" w:rsidRDefault="00F35562">
            <w:pPr>
              <w:widowControl w:val="0"/>
              <w:spacing w:line="240" w:lineRule="auto"/>
              <w:contextualSpacing w:val="0"/>
              <w:jc w:val="center"/>
              <w:rPr>
                <w:color w:val="205968"/>
                <w:sz w:val="20"/>
                <w:szCs w:val="20"/>
              </w:rPr>
            </w:pPr>
            <w:r>
              <w:rPr>
                <w:color w:val="205968"/>
                <w:sz w:val="20"/>
                <w:szCs w:val="20"/>
              </w:rPr>
              <w:t>$36,570,053.42</w:t>
            </w:r>
          </w:p>
        </w:tc>
      </w:tr>
      <w:tr w:rsidR="008A34AE" w14:paraId="239F2FC1" w14:textId="77777777">
        <w:tc>
          <w:tcPr>
            <w:tcW w:w="3009" w:type="dxa"/>
            <w:tcBorders>
              <w:top w:val="nil"/>
              <w:left w:val="single" w:sz="4" w:space="0" w:color="000000"/>
              <w:bottom w:val="single" w:sz="4" w:space="0" w:color="000000"/>
              <w:right w:val="single" w:sz="4" w:space="0" w:color="000000"/>
            </w:tcBorders>
            <w:shd w:val="clear" w:color="auto" w:fill="31849B"/>
            <w:tcMar>
              <w:top w:w="100" w:type="dxa"/>
              <w:left w:w="100" w:type="dxa"/>
              <w:bottom w:w="100" w:type="dxa"/>
              <w:right w:w="100" w:type="dxa"/>
            </w:tcMar>
            <w:vAlign w:val="center"/>
          </w:tcPr>
          <w:p w14:paraId="66EB277C" w14:textId="77777777" w:rsidR="008A34AE" w:rsidRDefault="00F35562">
            <w:pPr>
              <w:widowControl w:val="0"/>
              <w:spacing w:line="240" w:lineRule="auto"/>
              <w:contextualSpacing w:val="0"/>
              <w:rPr>
                <w:b/>
                <w:color w:val="FFFFFF"/>
                <w:sz w:val="20"/>
                <w:szCs w:val="20"/>
              </w:rPr>
            </w:pPr>
            <w:r>
              <w:rPr>
                <w:b/>
                <w:color w:val="FFFFFF"/>
                <w:sz w:val="20"/>
                <w:szCs w:val="20"/>
              </w:rPr>
              <w:t>Viviendas</w:t>
            </w:r>
          </w:p>
        </w:tc>
        <w:tc>
          <w:tcPr>
            <w:tcW w:w="3010"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66569E31" w14:textId="77777777" w:rsidR="008A34AE" w:rsidRDefault="00F35562">
            <w:pPr>
              <w:widowControl w:val="0"/>
              <w:spacing w:line="240" w:lineRule="auto"/>
              <w:contextualSpacing w:val="0"/>
              <w:jc w:val="center"/>
              <w:rPr>
                <w:color w:val="205968"/>
                <w:sz w:val="20"/>
                <w:szCs w:val="20"/>
              </w:rPr>
            </w:pPr>
            <w:r>
              <w:rPr>
                <w:color w:val="205968"/>
                <w:sz w:val="20"/>
                <w:szCs w:val="20"/>
              </w:rPr>
              <w:t>$164,603,935.24</w:t>
            </w:r>
          </w:p>
        </w:tc>
        <w:tc>
          <w:tcPr>
            <w:tcW w:w="3010" w:type="dxa"/>
            <w:tcBorders>
              <w:top w:val="nil"/>
              <w:left w:val="nil"/>
              <w:bottom w:val="single" w:sz="4" w:space="0" w:color="000000"/>
              <w:right w:val="single" w:sz="4" w:space="0" w:color="000000"/>
            </w:tcBorders>
            <w:shd w:val="clear" w:color="auto" w:fill="B7DDE8"/>
            <w:tcMar>
              <w:top w:w="100" w:type="dxa"/>
              <w:left w:w="100" w:type="dxa"/>
              <w:bottom w:w="100" w:type="dxa"/>
              <w:right w:w="100" w:type="dxa"/>
            </w:tcMar>
            <w:vAlign w:val="center"/>
          </w:tcPr>
          <w:p w14:paraId="23FFB3BD" w14:textId="77777777" w:rsidR="008A34AE" w:rsidRDefault="00F35562">
            <w:pPr>
              <w:widowControl w:val="0"/>
              <w:spacing w:line="240" w:lineRule="auto"/>
              <w:contextualSpacing w:val="0"/>
              <w:jc w:val="center"/>
              <w:rPr>
                <w:color w:val="205968"/>
                <w:sz w:val="20"/>
                <w:szCs w:val="20"/>
              </w:rPr>
            </w:pPr>
            <w:r>
              <w:rPr>
                <w:color w:val="205968"/>
                <w:sz w:val="20"/>
                <w:szCs w:val="20"/>
              </w:rPr>
              <w:t>$250,755,660.42</w:t>
            </w:r>
          </w:p>
        </w:tc>
      </w:tr>
      <w:tr w:rsidR="008A34AE" w14:paraId="279BC9C0" w14:textId="77777777">
        <w:tc>
          <w:tcPr>
            <w:tcW w:w="3009" w:type="dxa"/>
            <w:tcBorders>
              <w:top w:val="single" w:sz="4" w:space="0" w:color="000000"/>
              <w:left w:val="single" w:sz="4" w:space="0" w:color="000000"/>
              <w:bottom w:val="single" w:sz="4" w:space="0" w:color="000000"/>
              <w:right w:val="single" w:sz="4" w:space="0" w:color="000000"/>
            </w:tcBorders>
            <w:shd w:val="clear" w:color="auto" w:fill="205968"/>
            <w:tcMar>
              <w:top w:w="100" w:type="dxa"/>
              <w:left w:w="100" w:type="dxa"/>
              <w:bottom w:w="100" w:type="dxa"/>
              <w:right w:w="100" w:type="dxa"/>
            </w:tcMar>
            <w:vAlign w:val="center"/>
          </w:tcPr>
          <w:p w14:paraId="2CF7CDA4" w14:textId="77777777" w:rsidR="008A34AE" w:rsidRDefault="00F35562">
            <w:pPr>
              <w:widowControl w:val="0"/>
              <w:spacing w:line="240" w:lineRule="auto"/>
              <w:contextualSpacing w:val="0"/>
              <w:rPr>
                <w:b/>
                <w:color w:val="595959"/>
                <w:sz w:val="20"/>
                <w:szCs w:val="20"/>
              </w:rPr>
            </w:pPr>
            <w:r w:rsidRPr="00ED16E8">
              <w:rPr>
                <w:b/>
                <w:color w:val="FFFFFF" w:themeColor="background1"/>
                <w:sz w:val="20"/>
                <w:szCs w:val="20"/>
              </w:rPr>
              <w:t>Total</w:t>
            </w:r>
          </w:p>
        </w:tc>
        <w:tc>
          <w:tcPr>
            <w:tcW w:w="3010" w:type="dxa"/>
            <w:tcBorders>
              <w:top w:val="single" w:sz="4" w:space="0" w:color="000000"/>
              <w:left w:val="single" w:sz="4" w:space="0" w:color="000000"/>
              <w:bottom w:val="single" w:sz="4" w:space="0" w:color="000000"/>
              <w:right w:val="single" w:sz="4" w:space="0" w:color="000000"/>
            </w:tcBorders>
            <w:shd w:val="clear" w:color="auto" w:fill="205968"/>
            <w:tcMar>
              <w:top w:w="100" w:type="dxa"/>
              <w:left w:w="100" w:type="dxa"/>
              <w:bottom w:w="100" w:type="dxa"/>
              <w:right w:w="100" w:type="dxa"/>
            </w:tcMar>
            <w:vAlign w:val="center"/>
          </w:tcPr>
          <w:p w14:paraId="3998CDD7" w14:textId="77777777" w:rsidR="008A34AE" w:rsidRPr="00ED16E8" w:rsidRDefault="00F35562">
            <w:pPr>
              <w:widowControl w:val="0"/>
              <w:spacing w:line="240" w:lineRule="auto"/>
              <w:contextualSpacing w:val="0"/>
              <w:jc w:val="center"/>
              <w:rPr>
                <w:color w:val="FFFFFF" w:themeColor="background1"/>
                <w:sz w:val="20"/>
                <w:szCs w:val="20"/>
              </w:rPr>
            </w:pPr>
            <w:r w:rsidRPr="00ED16E8">
              <w:rPr>
                <w:color w:val="FFFFFF" w:themeColor="background1"/>
                <w:sz w:val="20"/>
                <w:szCs w:val="20"/>
              </w:rPr>
              <w:t>$476,204,841.53</w:t>
            </w:r>
          </w:p>
        </w:tc>
        <w:tc>
          <w:tcPr>
            <w:tcW w:w="3010" w:type="dxa"/>
            <w:tcBorders>
              <w:top w:val="single" w:sz="4" w:space="0" w:color="000000"/>
              <w:left w:val="single" w:sz="4" w:space="0" w:color="000000"/>
              <w:bottom w:val="single" w:sz="4" w:space="0" w:color="000000"/>
              <w:right w:val="single" w:sz="4" w:space="0" w:color="000000"/>
            </w:tcBorders>
            <w:shd w:val="clear" w:color="auto" w:fill="205968"/>
            <w:tcMar>
              <w:top w:w="100" w:type="dxa"/>
              <w:left w:w="100" w:type="dxa"/>
              <w:bottom w:w="100" w:type="dxa"/>
              <w:right w:w="100" w:type="dxa"/>
            </w:tcMar>
            <w:vAlign w:val="center"/>
          </w:tcPr>
          <w:p w14:paraId="361D92F6" w14:textId="77777777" w:rsidR="008A34AE" w:rsidRPr="00ED16E8" w:rsidRDefault="00F35562">
            <w:pPr>
              <w:widowControl w:val="0"/>
              <w:spacing w:line="240" w:lineRule="auto"/>
              <w:contextualSpacing w:val="0"/>
              <w:jc w:val="center"/>
              <w:rPr>
                <w:color w:val="FFFFFF" w:themeColor="background1"/>
                <w:sz w:val="20"/>
                <w:szCs w:val="20"/>
              </w:rPr>
            </w:pPr>
            <w:r w:rsidRPr="00ED16E8">
              <w:rPr>
                <w:color w:val="FFFFFF" w:themeColor="background1"/>
                <w:sz w:val="20"/>
                <w:szCs w:val="20"/>
              </w:rPr>
              <w:t>$553,431,050.58</w:t>
            </w:r>
          </w:p>
        </w:tc>
      </w:tr>
    </w:tbl>
    <w:p w14:paraId="1E97912F" w14:textId="77777777" w:rsidR="008A34AE" w:rsidRDefault="00F35562">
      <w:pPr>
        <w:contextualSpacing w:val="0"/>
        <w:jc w:val="both"/>
        <w:rPr>
          <w:color w:val="595959"/>
          <w:sz w:val="16"/>
          <w:szCs w:val="16"/>
        </w:rPr>
      </w:pPr>
      <w:r>
        <w:rPr>
          <w:b/>
          <w:color w:val="595959"/>
          <w:sz w:val="16"/>
          <w:szCs w:val="16"/>
        </w:rPr>
        <w:t>Fuente</w:t>
      </w:r>
      <w:r>
        <w:rPr>
          <w:color w:val="595959"/>
          <w:sz w:val="16"/>
          <w:szCs w:val="16"/>
        </w:rPr>
        <w:t>: Elaboración propia con datos de la base publicada por el SAT al 31 de mayo de 2018, consultada el 6 de septiembre de 2018</w:t>
      </w:r>
      <w:r w:rsidR="003D2907">
        <w:rPr>
          <w:color w:val="595959"/>
          <w:sz w:val="16"/>
          <w:szCs w:val="16"/>
        </w:rPr>
        <w:t>.</w:t>
      </w:r>
    </w:p>
    <w:p w14:paraId="37A98806" w14:textId="77777777" w:rsidR="008A34AE" w:rsidRDefault="00F35562">
      <w:pPr>
        <w:contextualSpacing w:val="0"/>
        <w:jc w:val="both"/>
        <w:rPr>
          <w:color w:val="595959"/>
          <w:sz w:val="16"/>
          <w:szCs w:val="16"/>
        </w:rPr>
      </w:pPr>
      <w:r>
        <w:rPr>
          <w:color w:val="595959"/>
          <w:sz w:val="16"/>
          <w:szCs w:val="16"/>
        </w:rPr>
        <w:t xml:space="preserve">[1] “Otros” </w:t>
      </w:r>
      <w:r w:rsidR="003D2907">
        <w:rPr>
          <w:color w:val="595959"/>
          <w:sz w:val="16"/>
          <w:szCs w:val="16"/>
        </w:rPr>
        <w:t>i</w:t>
      </w:r>
      <w:r>
        <w:rPr>
          <w:color w:val="595959"/>
          <w:sz w:val="16"/>
          <w:szCs w:val="16"/>
        </w:rPr>
        <w:t>ncluye categorías, como transporte, gasolina, artículos de higiene personal, equipo de cómputo, materiales de construcción, casas de campaña, víveres, calzado, entre otros.</w:t>
      </w:r>
    </w:p>
    <w:p w14:paraId="7DD420BF" w14:textId="77777777" w:rsidR="008A34AE" w:rsidRDefault="008A34AE">
      <w:pPr>
        <w:contextualSpacing w:val="0"/>
        <w:jc w:val="both"/>
        <w:rPr>
          <w:color w:val="0000FF"/>
          <w:sz w:val="18"/>
          <w:szCs w:val="18"/>
        </w:rPr>
      </w:pPr>
    </w:p>
    <w:p w14:paraId="37940B09" w14:textId="77777777" w:rsidR="00D250B5" w:rsidRDefault="00D250B5">
      <w:pPr>
        <w:contextualSpacing w:val="0"/>
        <w:jc w:val="center"/>
        <w:rPr>
          <w:b/>
          <w:color w:val="595959"/>
        </w:rPr>
      </w:pPr>
    </w:p>
    <w:p w14:paraId="4578388D" w14:textId="77777777" w:rsidR="00D250B5" w:rsidRDefault="00D250B5">
      <w:pPr>
        <w:contextualSpacing w:val="0"/>
        <w:jc w:val="center"/>
        <w:rPr>
          <w:b/>
          <w:color w:val="595959"/>
        </w:rPr>
      </w:pPr>
    </w:p>
    <w:p w14:paraId="301E62B9" w14:textId="77777777" w:rsidR="00D250B5" w:rsidRDefault="00D250B5">
      <w:pPr>
        <w:contextualSpacing w:val="0"/>
        <w:jc w:val="center"/>
        <w:rPr>
          <w:b/>
          <w:color w:val="595959"/>
        </w:rPr>
      </w:pPr>
    </w:p>
    <w:p w14:paraId="18BE2375" w14:textId="77777777" w:rsidR="00D250B5" w:rsidRDefault="00D250B5">
      <w:pPr>
        <w:contextualSpacing w:val="0"/>
        <w:jc w:val="center"/>
        <w:rPr>
          <w:b/>
          <w:color w:val="595959"/>
        </w:rPr>
      </w:pPr>
    </w:p>
    <w:p w14:paraId="51630796" w14:textId="77777777" w:rsidR="00D250B5" w:rsidRDefault="00D250B5">
      <w:pPr>
        <w:contextualSpacing w:val="0"/>
        <w:jc w:val="center"/>
        <w:rPr>
          <w:b/>
          <w:color w:val="595959"/>
        </w:rPr>
      </w:pPr>
    </w:p>
    <w:p w14:paraId="4DF94608" w14:textId="77777777" w:rsidR="008A34AE" w:rsidRDefault="00F35562">
      <w:pPr>
        <w:contextualSpacing w:val="0"/>
        <w:jc w:val="center"/>
        <w:rPr>
          <w:color w:val="595959"/>
          <w:sz w:val="20"/>
          <w:szCs w:val="20"/>
        </w:rPr>
      </w:pPr>
      <w:r>
        <w:rPr>
          <w:b/>
          <w:color w:val="595959"/>
        </w:rPr>
        <w:lastRenderedPageBreak/>
        <w:t>Tabla 15. Total general de sector beneficiario y tipo de apoyo</w:t>
      </w:r>
      <w:r w:rsidR="003D2907">
        <w:rPr>
          <w:b/>
          <w:color w:val="595959"/>
        </w:rPr>
        <w:t>: Sector público, Donataria autorizada y Otros</w:t>
      </w:r>
    </w:p>
    <w:tbl>
      <w:tblPr>
        <w:tblStyle w:val="ad"/>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8A34AE" w14:paraId="351BA3EA" w14:textId="77777777">
        <w:tc>
          <w:tcPr>
            <w:tcW w:w="3009" w:type="dxa"/>
            <w:tcBorders>
              <w:top w:val="single" w:sz="4" w:space="0" w:color="000000"/>
              <w:left w:val="single" w:sz="4" w:space="0" w:color="000000"/>
              <w:bottom w:val="single" w:sz="4" w:space="0" w:color="000000"/>
              <w:right w:val="single" w:sz="4" w:space="0" w:color="000000"/>
            </w:tcBorders>
            <w:shd w:val="clear" w:color="auto" w:fill="205968"/>
            <w:tcMar>
              <w:top w:w="100" w:type="dxa"/>
              <w:left w:w="100" w:type="dxa"/>
              <w:bottom w:w="100" w:type="dxa"/>
              <w:right w:w="100" w:type="dxa"/>
            </w:tcMar>
            <w:vAlign w:val="center"/>
          </w:tcPr>
          <w:p w14:paraId="6F008A7A" w14:textId="77777777" w:rsidR="008A34AE" w:rsidRDefault="00F35562">
            <w:pPr>
              <w:spacing w:line="240" w:lineRule="auto"/>
              <w:contextualSpacing w:val="0"/>
              <w:jc w:val="center"/>
              <w:rPr>
                <w:b/>
                <w:color w:val="FFFFFF"/>
                <w:sz w:val="20"/>
                <w:szCs w:val="20"/>
              </w:rPr>
            </w:pPr>
            <w:r>
              <w:rPr>
                <w:b/>
                <w:color w:val="FFFFFF"/>
                <w:sz w:val="20"/>
                <w:szCs w:val="20"/>
              </w:rPr>
              <w:t>Total general de sector beneficiario</w:t>
            </w:r>
          </w:p>
        </w:tc>
        <w:tc>
          <w:tcPr>
            <w:tcW w:w="3010" w:type="dxa"/>
            <w:tcBorders>
              <w:top w:val="single" w:sz="4" w:space="0" w:color="000000"/>
              <w:left w:val="single" w:sz="4" w:space="0" w:color="000000"/>
              <w:bottom w:val="single" w:sz="4" w:space="0" w:color="000000"/>
              <w:right w:val="single" w:sz="4" w:space="0" w:color="000000"/>
            </w:tcBorders>
            <w:shd w:val="clear" w:color="auto" w:fill="205968"/>
            <w:tcMar>
              <w:top w:w="100" w:type="dxa"/>
              <w:left w:w="100" w:type="dxa"/>
              <w:bottom w:w="100" w:type="dxa"/>
              <w:right w:w="100" w:type="dxa"/>
            </w:tcMar>
            <w:vAlign w:val="center"/>
          </w:tcPr>
          <w:p w14:paraId="02CD67E7" w14:textId="1C4AF8E0" w:rsidR="008A34AE" w:rsidRDefault="003D2907">
            <w:pPr>
              <w:spacing w:line="240" w:lineRule="auto"/>
              <w:contextualSpacing w:val="0"/>
              <w:jc w:val="center"/>
              <w:rPr>
                <w:b/>
                <w:color w:val="FFFFFF"/>
                <w:sz w:val="20"/>
                <w:szCs w:val="20"/>
              </w:rPr>
            </w:pPr>
            <w:r>
              <w:rPr>
                <w:b/>
                <w:color w:val="FFFFFF"/>
                <w:sz w:val="20"/>
                <w:szCs w:val="20"/>
              </w:rPr>
              <w:t>Suma de valor monetario del efectivo ejercido</w:t>
            </w:r>
          </w:p>
        </w:tc>
        <w:tc>
          <w:tcPr>
            <w:tcW w:w="3010" w:type="dxa"/>
            <w:tcBorders>
              <w:top w:val="single" w:sz="4" w:space="0" w:color="000000"/>
              <w:left w:val="single" w:sz="4" w:space="0" w:color="000000"/>
              <w:bottom w:val="single" w:sz="4" w:space="0" w:color="000000"/>
              <w:right w:val="single" w:sz="4" w:space="0" w:color="000000"/>
            </w:tcBorders>
            <w:shd w:val="clear" w:color="auto" w:fill="205968"/>
            <w:tcMar>
              <w:top w:w="100" w:type="dxa"/>
              <w:left w:w="100" w:type="dxa"/>
              <w:bottom w:w="100" w:type="dxa"/>
              <w:right w:w="100" w:type="dxa"/>
            </w:tcMar>
            <w:vAlign w:val="center"/>
          </w:tcPr>
          <w:p w14:paraId="1D17CCE1" w14:textId="77777777" w:rsidR="008A34AE" w:rsidRDefault="003D2907">
            <w:pPr>
              <w:spacing w:line="240" w:lineRule="auto"/>
              <w:contextualSpacing w:val="0"/>
              <w:jc w:val="center"/>
              <w:rPr>
                <w:b/>
                <w:color w:val="FFFFFF"/>
                <w:sz w:val="20"/>
                <w:szCs w:val="20"/>
              </w:rPr>
            </w:pPr>
            <w:r>
              <w:rPr>
                <w:b/>
                <w:color w:val="FFFFFF"/>
                <w:sz w:val="20"/>
                <w:szCs w:val="20"/>
              </w:rPr>
              <w:t>Suma de valor monetario de los recursos en especie ejercido</w:t>
            </w:r>
          </w:p>
        </w:tc>
      </w:tr>
      <w:tr w:rsidR="008A34AE" w14:paraId="631EB295" w14:textId="77777777">
        <w:tc>
          <w:tcPr>
            <w:tcW w:w="3009" w:type="dxa"/>
            <w:tcBorders>
              <w:top w:val="single" w:sz="4" w:space="0" w:color="000000"/>
              <w:left w:val="single" w:sz="4" w:space="0" w:color="000000"/>
              <w:bottom w:val="single" w:sz="4" w:space="0" w:color="000000"/>
              <w:right w:val="single" w:sz="4" w:space="0" w:color="000000"/>
            </w:tcBorders>
            <w:shd w:val="clear" w:color="auto" w:fill="31849B"/>
            <w:tcMar>
              <w:top w:w="100" w:type="dxa"/>
              <w:left w:w="100" w:type="dxa"/>
              <w:bottom w:w="100" w:type="dxa"/>
              <w:right w:w="100" w:type="dxa"/>
            </w:tcMar>
            <w:vAlign w:val="center"/>
          </w:tcPr>
          <w:p w14:paraId="006C2021" w14:textId="77777777" w:rsidR="008A34AE" w:rsidRDefault="00F35562">
            <w:pPr>
              <w:spacing w:line="240" w:lineRule="auto"/>
              <w:contextualSpacing w:val="0"/>
              <w:rPr>
                <w:b/>
                <w:color w:val="FFFFFF"/>
                <w:sz w:val="20"/>
                <w:szCs w:val="20"/>
              </w:rPr>
            </w:pPr>
            <w:r>
              <w:rPr>
                <w:b/>
                <w:color w:val="FFFFFF"/>
                <w:sz w:val="20"/>
                <w:szCs w:val="20"/>
              </w:rPr>
              <w:t>Total: Sector Público + Donataria autorizada +</w:t>
            </w:r>
          </w:p>
          <w:p w14:paraId="4F19367A" w14:textId="77777777" w:rsidR="008A34AE" w:rsidRDefault="00F35562">
            <w:pPr>
              <w:spacing w:line="240" w:lineRule="auto"/>
              <w:contextualSpacing w:val="0"/>
              <w:rPr>
                <w:color w:val="0000FF"/>
                <w:sz w:val="20"/>
                <w:szCs w:val="20"/>
              </w:rPr>
            </w:pPr>
            <w:r>
              <w:rPr>
                <w:b/>
                <w:color w:val="FFFFFF"/>
                <w:sz w:val="20"/>
                <w:szCs w:val="20"/>
              </w:rPr>
              <w:t>Otros</w:t>
            </w:r>
            <w:r>
              <w:rPr>
                <w:color w:val="FFFFFF"/>
                <w:sz w:val="20"/>
                <w:szCs w:val="20"/>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B7DDE8"/>
            <w:tcMar>
              <w:top w:w="100" w:type="dxa"/>
              <w:left w:w="100" w:type="dxa"/>
              <w:bottom w:w="100" w:type="dxa"/>
              <w:right w:w="100" w:type="dxa"/>
            </w:tcMar>
            <w:vAlign w:val="center"/>
          </w:tcPr>
          <w:p w14:paraId="154BD1C6" w14:textId="77777777" w:rsidR="008A34AE" w:rsidRDefault="00F35562">
            <w:pPr>
              <w:spacing w:line="240" w:lineRule="auto"/>
              <w:contextualSpacing w:val="0"/>
              <w:jc w:val="center"/>
              <w:rPr>
                <w:color w:val="205968"/>
                <w:sz w:val="20"/>
                <w:szCs w:val="20"/>
              </w:rPr>
            </w:pPr>
            <w:r>
              <w:rPr>
                <w:color w:val="205968"/>
                <w:sz w:val="20"/>
                <w:szCs w:val="20"/>
              </w:rPr>
              <w:t>$1,142,810,831.01</w:t>
            </w:r>
          </w:p>
        </w:tc>
        <w:tc>
          <w:tcPr>
            <w:tcW w:w="3010" w:type="dxa"/>
            <w:tcBorders>
              <w:top w:val="single" w:sz="4" w:space="0" w:color="000000"/>
              <w:left w:val="single" w:sz="4" w:space="0" w:color="000000"/>
              <w:bottom w:val="single" w:sz="4" w:space="0" w:color="000000"/>
              <w:right w:val="single" w:sz="4" w:space="0" w:color="000000"/>
            </w:tcBorders>
            <w:shd w:val="clear" w:color="auto" w:fill="B7DDE8"/>
            <w:tcMar>
              <w:top w:w="100" w:type="dxa"/>
              <w:left w:w="100" w:type="dxa"/>
              <w:bottom w:w="100" w:type="dxa"/>
              <w:right w:w="100" w:type="dxa"/>
            </w:tcMar>
            <w:vAlign w:val="center"/>
          </w:tcPr>
          <w:p w14:paraId="18BB43A4" w14:textId="77777777" w:rsidR="008A34AE" w:rsidRDefault="00F35562">
            <w:pPr>
              <w:spacing w:line="240" w:lineRule="auto"/>
              <w:contextualSpacing w:val="0"/>
              <w:jc w:val="center"/>
              <w:rPr>
                <w:color w:val="205968"/>
                <w:sz w:val="20"/>
                <w:szCs w:val="20"/>
              </w:rPr>
            </w:pPr>
            <w:r>
              <w:rPr>
                <w:color w:val="205968"/>
                <w:sz w:val="20"/>
                <w:szCs w:val="20"/>
              </w:rPr>
              <w:t>$851,333,127.99</w:t>
            </w:r>
          </w:p>
        </w:tc>
      </w:tr>
    </w:tbl>
    <w:p w14:paraId="409CEAF7" w14:textId="00957650" w:rsidR="0028709C" w:rsidRPr="004B4BC6" w:rsidRDefault="0028709C" w:rsidP="0028709C">
      <w:pPr>
        <w:pStyle w:val="Ttulo2"/>
        <w:jc w:val="both"/>
        <w:rPr>
          <w:b w:val="0"/>
          <w:color w:val="595959" w:themeColor="text1" w:themeTint="A6"/>
          <w:sz w:val="22"/>
          <w:szCs w:val="22"/>
        </w:rPr>
      </w:pPr>
      <w:bookmarkStart w:id="18" w:name="_Toc524361295"/>
      <w:r w:rsidRPr="004B4BC6">
        <w:rPr>
          <w:b w:val="0"/>
          <w:color w:val="595959" w:themeColor="text1" w:themeTint="A6"/>
          <w:sz w:val="22"/>
          <w:szCs w:val="22"/>
        </w:rPr>
        <w:t xml:space="preserve">La información recabada por la </w:t>
      </w:r>
      <w:r w:rsidRPr="004B4BC6">
        <w:rPr>
          <w:b w:val="0"/>
          <w:color w:val="595959" w:themeColor="text1" w:themeTint="A6"/>
          <w:sz w:val="20"/>
          <w:szCs w:val="20"/>
        </w:rPr>
        <w:t>SHCP</w:t>
      </w:r>
      <w:r w:rsidRPr="004B4BC6">
        <w:rPr>
          <w:b w:val="0"/>
          <w:color w:val="595959" w:themeColor="text1" w:themeTint="A6"/>
          <w:sz w:val="22"/>
          <w:szCs w:val="22"/>
        </w:rPr>
        <w:t xml:space="preserve"> y las bases de datos integradas para conformar los </w:t>
      </w:r>
      <w:r w:rsidRPr="004B4BC6">
        <w:rPr>
          <w:b w:val="0"/>
          <w:i/>
          <w:color w:val="595959" w:themeColor="text1" w:themeTint="A6"/>
          <w:sz w:val="22"/>
          <w:szCs w:val="22"/>
        </w:rPr>
        <w:t>Informes de transparencia relacionados con donativos recibidos por los sismos ocurridos en México durante septiembre de 2017</w:t>
      </w:r>
      <w:r w:rsidRPr="004B4BC6">
        <w:rPr>
          <w:b w:val="0"/>
          <w:color w:val="595959" w:themeColor="text1" w:themeTint="A6"/>
          <w:sz w:val="22"/>
          <w:szCs w:val="22"/>
        </w:rPr>
        <w:t xml:space="preserve"> ha sido de utilidad para conocer los recursos recaudados y destinados de donatarias y fideicomisos autorizados</w:t>
      </w:r>
      <w:r w:rsidR="00C65FBA" w:rsidRPr="004B4BC6">
        <w:rPr>
          <w:b w:val="0"/>
          <w:color w:val="595959" w:themeColor="text1" w:themeTint="A6"/>
          <w:sz w:val="20"/>
          <w:szCs w:val="20"/>
        </w:rPr>
        <w:t xml:space="preserve">. </w:t>
      </w:r>
      <w:r w:rsidR="003A3A30" w:rsidRPr="004B4BC6">
        <w:rPr>
          <w:b w:val="0"/>
          <w:color w:val="595959" w:themeColor="text1" w:themeTint="A6"/>
          <w:sz w:val="20"/>
          <w:szCs w:val="20"/>
        </w:rPr>
        <w:t xml:space="preserve"> </w:t>
      </w:r>
      <w:r w:rsidR="00C65FBA" w:rsidRPr="004B4BC6">
        <w:rPr>
          <w:b w:val="0"/>
          <w:color w:val="595959" w:themeColor="text1" w:themeTint="A6"/>
          <w:sz w:val="22"/>
          <w:szCs w:val="22"/>
        </w:rPr>
        <w:t>S</w:t>
      </w:r>
      <w:r w:rsidRPr="004B4BC6">
        <w:rPr>
          <w:b w:val="0"/>
          <w:color w:val="595959" w:themeColor="text1" w:themeTint="A6"/>
          <w:sz w:val="22"/>
          <w:szCs w:val="22"/>
        </w:rPr>
        <w:t xml:space="preserve">in embargo, </w:t>
      </w:r>
      <w:r w:rsidR="00C5149D" w:rsidRPr="004B4BC6">
        <w:rPr>
          <w:b w:val="0"/>
          <w:color w:val="595959" w:themeColor="text1" w:themeTint="A6"/>
          <w:sz w:val="22"/>
          <w:szCs w:val="22"/>
        </w:rPr>
        <w:t xml:space="preserve">no se puede identificar información correspondiente a: </w:t>
      </w:r>
    </w:p>
    <w:p w14:paraId="65551132" w14:textId="41F503F1" w:rsidR="0028709C" w:rsidRPr="004B4BC6" w:rsidRDefault="0028709C" w:rsidP="003A3A30">
      <w:pPr>
        <w:pStyle w:val="Prrafodelista"/>
        <w:numPr>
          <w:ilvl w:val="0"/>
          <w:numId w:val="4"/>
        </w:numPr>
        <w:ind w:left="1077" w:hanging="357"/>
        <w:jc w:val="both"/>
        <w:rPr>
          <w:color w:val="595959" w:themeColor="text1" w:themeTint="A6"/>
        </w:rPr>
      </w:pPr>
      <w:r w:rsidRPr="004B4BC6">
        <w:rPr>
          <w:b/>
          <w:color w:val="595959" w:themeColor="text1" w:themeTint="A6"/>
        </w:rPr>
        <w:t>Donantes originales:</w:t>
      </w:r>
      <w:r w:rsidRPr="004B4BC6">
        <w:rPr>
          <w:color w:val="595959" w:themeColor="text1" w:themeTint="A6"/>
        </w:rPr>
        <w:t xml:space="preserve"> No se conocen </w:t>
      </w:r>
      <w:r w:rsidR="00C65FBA" w:rsidRPr="004B4BC6">
        <w:rPr>
          <w:color w:val="595959" w:themeColor="text1" w:themeTint="A6"/>
        </w:rPr>
        <w:t xml:space="preserve">todos </w:t>
      </w:r>
      <w:r w:rsidRPr="004B4BC6">
        <w:rPr>
          <w:color w:val="595959" w:themeColor="text1" w:themeTint="A6"/>
        </w:rPr>
        <w:t xml:space="preserve">los nombres </w:t>
      </w:r>
      <w:r w:rsidR="00033C86" w:rsidRPr="004B4BC6">
        <w:rPr>
          <w:color w:val="595959" w:themeColor="text1" w:themeTint="A6"/>
        </w:rPr>
        <w:t xml:space="preserve">de los donantes y los montos que entregaron. Esto, aún </w:t>
      </w:r>
      <w:r w:rsidRPr="004B4BC6">
        <w:rPr>
          <w:color w:val="595959" w:themeColor="text1" w:themeTint="A6"/>
        </w:rPr>
        <w:t xml:space="preserve">con </w:t>
      </w:r>
      <w:r w:rsidR="00033C86" w:rsidRPr="004B4BC6">
        <w:rPr>
          <w:color w:val="595959" w:themeColor="text1" w:themeTint="A6"/>
        </w:rPr>
        <w:t>su aceptación</w:t>
      </w:r>
      <w:r w:rsidRPr="004B4BC6">
        <w:rPr>
          <w:color w:val="595959" w:themeColor="text1" w:themeTint="A6"/>
        </w:rPr>
        <w:t xml:space="preserve"> par</w:t>
      </w:r>
      <w:r w:rsidR="00033C86" w:rsidRPr="004B4BC6">
        <w:rPr>
          <w:color w:val="595959" w:themeColor="text1" w:themeTint="A6"/>
        </w:rPr>
        <w:t>a hacer públicos los</w:t>
      </w:r>
      <w:r w:rsidRPr="004B4BC6">
        <w:rPr>
          <w:color w:val="595959" w:themeColor="text1" w:themeTint="A6"/>
        </w:rPr>
        <w:t xml:space="preserve"> datos. </w:t>
      </w:r>
      <w:r w:rsidR="00033C86" w:rsidRPr="004B4BC6">
        <w:rPr>
          <w:color w:val="595959" w:themeColor="text1" w:themeTint="A6"/>
        </w:rPr>
        <w:t>Por lo tanto, no se puede</w:t>
      </w:r>
      <w:r w:rsidRPr="004B4BC6">
        <w:rPr>
          <w:color w:val="595959" w:themeColor="text1" w:themeTint="A6"/>
        </w:rPr>
        <w:t xml:space="preserve"> conocer el origen de los recursos y </w:t>
      </w:r>
      <w:r w:rsidR="00033C86" w:rsidRPr="004B4BC6">
        <w:rPr>
          <w:color w:val="595959" w:themeColor="text1" w:themeTint="A6"/>
        </w:rPr>
        <w:t xml:space="preserve">contrastarlos </w:t>
      </w:r>
      <w:r w:rsidRPr="004B4BC6">
        <w:rPr>
          <w:color w:val="595959" w:themeColor="text1" w:themeTint="A6"/>
        </w:rPr>
        <w:t xml:space="preserve"> con l</w:t>
      </w:r>
      <w:r w:rsidR="00033C86" w:rsidRPr="004B4BC6">
        <w:rPr>
          <w:color w:val="595959" w:themeColor="text1" w:themeTint="A6"/>
        </w:rPr>
        <w:t xml:space="preserve">os anuncios públicos que se dieron </w:t>
      </w:r>
      <w:r w:rsidRPr="004B4BC6">
        <w:rPr>
          <w:color w:val="595959" w:themeColor="text1" w:themeTint="A6"/>
        </w:rPr>
        <w:t xml:space="preserve">durante la </w:t>
      </w:r>
      <w:r w:rsidR="00033C86" w:rsidRPr="004B4BC6">
        <w:rPr>
          <w:color w:val="595959" w:themeColor="text1" w:themeTint="A6"/>
        </w:rPr>
        <w:t xml:space="preserve">fase de </w:t>
      </w:r>
      <w:r w:rsidRPr="004B4BC6">
        <w:rPr>
          <w:color w:val="595959" w:themeColor="text1" w:themeTint="A6"/>
        </w:rPr>
        <w:t>emergencia</w:t>
      </w:r>
      <w:r w:rsidR="00CE2CFD" w:rsidRPr="004B4BC6">
        <w:rPr>
          <w:color w:val="595959" w:themeColor="text1" w:themeTint="A6"/>
        </w:rPr>
        <w:t xml:space="preserve"> o en días o meses posteriores</w:t>
      </w:r>
      <w:r w:rsidRPr="004B4BC6">
        <w:rPr>
          <w:color w:val="595959" w:themeColor="text1" w:themeTint="A6"/>
        </w:rPr>
        <w:t>.</w:t>
      </w:r>
      <w:r w:rsidR="00033C86" w:rsidRPr="004B4BC6">
        <w:rPr>
          <w:color w:val="595959" w:themeColor="text1" w:themeTint="A6"/>
        </w:rPr>
        <w:t xml:space="preserve"> La</w:t>
      </w:r>
      <w:r w:rsidR="003A3A30" w:rsidRPr="004B4BC6">
        <w:rPr>
          <w:color w:val="595959" w:themeColor="text1" w:themeTint="A6"/>
        </w:rPr>
        <w:t xml:space="preserve"> </w:t>
      </w:r>
      <w:r w:rsidR="003A3A30" w:rsidRPr="004B4BC6">
        <w:rPr>
          <w:color w:val="595959" w:themeColor="text1" w:themeTint="A6"/>
          <w:sz w:val="20"/>
          <w:szCs w:val="20"/>
        </w:rPr>
        <w:t>S</w:t>
      </w:r>
      <w:r w:rsidR="00CE2CFD" w:rsidRPr="004B4BC6">
        <w:rPr>
          <w:color w:val="595959" w:themeColor="text1" w:themeTint="A6"/>
          <w:sz w:val="20"/>
          <w:szCs w:val="20"/>
        </w:rPr>
        <w:t>HCP</w:t>
      </w:r>
      <w:r w:rsidR="003A3A30" w:rsidRPr="004B4BC6">
        <w:rPr>
          <w:color w:val="595959" w:themeColor="text1" w:themeTint="A6"/>
          <w:sz w:val="20"/>
          <w:szCs w:val="20"/>
        </w:rPr>
        <w:t xml:space="preserve"> </w:t>
      </w:r>
      <w:r w:rsidR="003A3A30" w:rsidRPr="004B4BC6">
        <w:rPr>
          <w:color w:val="595959" w:themeColor="text1" w:themeTint="A6"/>
        </w:rPr>
        <w:t>debería solicitar que</w:t>
      </w:r>
      <w:r w:rsidR="00C5149D" w:rsidRPr="004B4BC6">
        <w:rPr>
          <w:color w:val="595959" w:themeColor="text1" w:themeTint="A6"/>
        </w:rPr>
        <w:t>,</w:t>
      </w:r>
      <w:r w:rsidR="003A3A30" w:rsidRPr="004B4BC6">
        <w:rPr>
          <w:color w:val="595959" w:themeColor="text1" w:themeTint="A6"/>
        </w:rPr>
        <w:t xml:space="preserve"> en los sitios electrónicos de</w:t>
      </w:r>
      <w:r w:rsidR="00C5149D" w:rsidRPr="004B4BC6">
        <w:rPr>
          <w:color w:val="595959" w:themeColor="text1" w:themeTint="A6"/>
        </w:rPr>
        <w:t xml:space="preserve"> las donatarias y fideicomiso</w:t>
      </w:r>
      <w:r w:rsidR="0027718E" w:rsidRPr="004B4BC6">
        <w:rPr>
          <w:color w:val="595959" w:themeColor="text1" w:themeTint="A6"/>
        </w:rPr>
        <w:t>s, publiquen los nombres de las y</w:t>
      </w:r>
      <w:r w:rsidR="00C5149D" w:rsidRPr="004B4BC6">
        <w:rPr>
          <w:color w:val="595959" w:themeColor="text1" w:themeTint="A6"/>
        </w:rPr>
        <w:t xml:space="preserve"> los</w:t>
      </w:r>
      <w:r w:rsidR="003A3A30" w:rsidRPr="004B4BC6">
        <w:rPr>
          <w:color w:val="595959" w:themeColor="text1" w:themeTint="A6"/>
        </w:rPr>
        <w:t xml:space="preserve"> donan</w:t>
      </w:r>
      <w:r w:rsidR="00C5149D" w:rsidRPr="004B4BC6">
        <w:rPr>
          <w:color w:val="595959" w:themeColor="text1" w:themeTint="A6"/>
        </w:rPr>
        <w:t xml:space="preserve">tes que dieron su autorización, e incluir algún tipo de información en las bases de datos. </w:t>
      </w:r>
    </w:p>
    <w:p w14:paraId="74F604E9" w14:textId="349EBB2E" w:rsidR="0028709C" w:rsidRPr="004B4BC6" w:rsidRDefault="003A3A30" w:rsidP="003A3A30">
      <w:pPr>
        <w:pStyle w:val="Prrafodelista"/>
        <w:numPr>
          <w:ilvl w:val="0"/>
          <w:numId w:val="4"/>
        </w:numPr>
        <w:ind w:left="1077" w:hanging="357"/>
        <w:contextualSpacing w:val="0"/>
        <w:jc w:val="both"/>
        <w:rPr>
          <w:color w:val="595959" w:themeColor="text1" w:themeTint="A6"/>
        </w:rPr>
      </w:pPr>
      <w:r w:rsidRPr="004B4BC6">
        <w:rPr>
          <w:b/>
          <w:color w:val="595959" w:themeColor="text1" w:themeTint="A6"/>
        </w:rPr>
        <w:t>Tipo de gestión que desempeñan las donatarias o fideicomisos:</w:t>
      </w:r>
      <w:r w:rsidRPr="004B4BC6">
        <w:rPr>
          <w:color w:val="595959" w:themeColor="text1" w:themeTint="A6"/>
        </w:rPr>
        <w:t xml:space="preserve"> Las bases de datos no permiten conocer </w:t>
      </w:r>
      <w:r w:rsidR="0027718E" w:rsidRPr="004B4BC6">
        <w:rPr>
          <w:color w:val="595959" w:themeColor="text1" w:themeTint="A6"/>
        </w:rPr>
        <w:t xml:space="preserve">la operación de las donatarias. </w:t>
      </w:r>
      <w:r w:rsidRPr="004B4BC6">
        <w:rPr>
          <w:color w:val="595959" w:themeColor="text1" w:themeTint="A6"/>
        </w:rPr>
        <w:t xml:space="preserve">Se ha identificado que </w:t>
      </w:r>
      <w:r w:rsidR="0027718E" w:rsidRPr="004B4BC6">
        <w:rPr>
          <w:color w:val="595959" w:themeColor="text1" w:themeTint="A6"/>
        </w:rPr>
        <w:t xml:space="preserve">algunas reciben los recursos, </w:t>
      </w:r>
      <w:r w:rsidRPr="004B4BC6">
        <w:rPr>
          <w:color w:val="595959" w:themeColor="text1" w:themeTint="A6"/>
        </w:rPr>
        <w:t xml:space="preserve">los </w:t>
      </w:r>
      <w:r w:rsidR="0028709C" w:rsidRPr="004B4BC6">
        <w:rPr>
          <w:color w:val="595959" w:themeColor="text1" w:themeTint="A6"/>
        </w:rPr>
        <w:t>administran</w:t>
      </w:r>
      <w:r w:rsidR="0027718E" w:rsidRPr="004B4BC6">
        <w:rPr>
          <w:color w:val="595959" w:themeColor="text1" w:themeTint="A6"/>
        </w:rPr>
        <w:t xml:space="preserve"> </w:t>
      </w:r>
      <w:r w:rsidR="00CE2CFD" w:rsidRPr="004B4BC6">
        <w:rPr>
          <w:color w:val="595959" w:themeColor="text1" w:themeTint="A6"/>
        </w:rPr>
        <w:t>y</w:t>
      </w:r>
      <w:r w:rsidR="0027718E" w:rsidRPr="004B4BC6">
        <w:rPr>
          <w:color w:val="595959" w:themeColor="text1" w:themeTint="A6"/>
        </w:rPr>
        <w:t>,</w:t>
      </w:r>
      <w:r w:rsidRPr="004B4BC6">
        <w:rPr>
          <w:color w:val="595959" w:themeColor="text1" w:themeTint="A6"/>
        </w:rPr>
        <w:t xml:space="preserve"> </w:t>
      </w:r>
      <w:r w:rsidR="0007647F" w:rsidRPr="004B4BC6">
        <w:rPr>
          <w:color w:val="595959" w:themeColor="text1" w:themeTint="A6"/>
        </w:rPr>
        <w:t>posteriormente</w:t>
      </w:r>
      <w:r w:rsidR="0027718E" w:rsidRPr="004B4BC6">
        <w:rPr>
          <w:color w:val="595959" w:themeColor="text1" w:themeTint="A6"/>
        </w:rPr>
        <w:t>,</w:t>
      </w:r>
      <w:r w:rsidR="0007647F" w:rsidRPr="004B4BC6">
        <w:rPr>
          <w:color w:val="595959" w:themeColor="text1" w:themeTint="A6"/>
        </w:rPr>
        <w:t xml:space="preserve"> </w:t>
      </w:r>
      <w:r w:rsidRPr="004B4BC6">
        <w:rPr>
          <w:color w:val="595959" w:themeColor="text1" w:themeTint="A6"/>
        </w:rPr>
        <w:t xml:space="preserve">los transfieren </w:t>
      </w:r>
      <w:r w:rsidR="0028709C" w:rsidRPr="004B4BC6">
        <w:rPr>
          <w:color w:val="595959" w:themeColor="text1" w:themeTint="A6"/>
        </w:rPr>
        <w:t>a o</w:t>
      </w:r>
      <w:r w:rsidR="00CE2CFD" w:rsidRPr="004B4BC6">
        <w:rPr>
          <w:color w:val="595959" w:themeColor="text1" w:themeTint="A6"/>
        </w:rPr>
        <w:t xml:space="preserve">tras </w:t>
      </w:r>
      <w:r w:rsidR="0007647F" w:rsidRPr="004B4BC6">
        <w:rPr>
          <w:color w:val="595959" w:themeColor="text1" w:themeTint="A6"/>
        </w:rPr>
        <w:t>donatarias</w:t>
      </w:r>
      <w:r w:rsidRPr="004B4BC6">
        <w:rPr>
          <w:color w:val="595959" w:themeColor="text1" w:themeTint="A6"/>
        </w:rPr>
        <w:t xml:space="preserve">. </w:t>
      </w:r>
      <w:r w:rsidR="0007647F" w:rsidRPr="004B4BC6">
        <w:rPr>
          <w:color w:val="595959" w:themeColor="text1" w:themeTint="A6"/>
        </w:rPr>
        <w:t>T</w:t>
      </w:r>
      <w:r w:rsidRPr="004B4BC6">
        <w:rPr>
          <w:color w:val="595959" w:themeColor="text1" w:themeTint="A6"/>
        </w:rPr>
        <w:t>ambién existen</w:t>
      </w:r>
      <w:r w:rsidR="0007647F" w:rsidRPr="004B4BC6">
        <w:rPr>
          <w:color w:val="595959" w:themeColor="text1" w:themeTint="A6"/>
        </w:rPr>
        <w:t xml:space="preserve"> </w:t>
      </w:r>
      <w:r w:rsidR="0027718E" w:rsidRPr="004B4BC6">
        <w:rPr>
          <w:color w:val="595959" w:themeColor="text1" w:themeTint="A6"/>
        </w:rPr>
        <w:t>aquellas</w:t>
      </w:r>
      <w:r w:rsidR="0007647F" w:rsidRPr="004B4BC6">
        <w:rPr>
          <w:color w:val="595959" w:themeColor="text1" w:themeTint="A6"/>
        </w:rPr>
        <w:t xml:space="preserve"> que </w:t>
      </w:r>
      <w:r w:rsidR="00C65FBA" w:rsidRPr="004B4BC6">
        <w:rPr>
          <w:color w:val="595959" w:themeColor="text1" w:themeTint="A6"/>
        </w:rPr>
        <w:t>gastan</w:t>
      </w:r>
      <w:r w:rsidR="00B27458" w:rsidRPr="004B4BC6">
        <w:rPr>
          <w:color w:val="595959" w:themeColor="text1" w:themeTint="A6"/>
        </w:rPr>
        <w:t xml:space="preserve"> l</w:t>
      </w:r>
      <w:r w:rsidR="0007647F" w:rsidRPr="004B4BC6">
        <w:rPr>
          <w:color w:val="595959" w:themeColor="text1" w:themeTint="A6"/>
        </w:rPr>
        <w:t xml:space="preserve">os recursos </w:t>
      </w:r>
      <w:r w:rsidR="00C65FBA" w:rsidRPr="004B4BC6">
        <w:rPr>
          <w:color w:val="595959" w:themeColor="text1" w:themeTint="A6"/>
        </w:rPr>
        <w:t xml:space="preserve">de manera directa en </w:t>
      </w:r>
      <w:r w:rsidRPr="004B4BC6">
        <w:rPr>
          <w:color w:val="595959" w:themeColor="text1" w:themeTint="A6"/>
        </w:rPr>
        <w:t xml:space="preserve">proyectos o </w:t>
      </w:r>
      <w:r w:rsidR="00C65FBA" w:rsidRPr="004B4BC6">
        <w:rPr>
          <w:color w:val="595959" w:themeColor="text1" w:themeTint="A6"/>
        </w:rPr>
        <w:t xml:space="preserve">dando apoyos </w:t>
      </w:r>
      <w:r w:rsidRPr="004B4BC6">
        <w:rPr>
          <w:color w:val="595959" w:themeColor="text1" w:themeTint="A6"/>
        </w:rPr>
        <w:t xml:space="preserve"> a las y </w:t>
      </w:r>
      <w:r w:rsidR="0028709C" w:rsidRPr="004B4BC6">
        <w:rPr>
          <w:color w:val="595959" w:themeColor="text1" w:themeTint="A6"/>
        </w:rPr>
        <w:t>los beneficiarios</w:t>
      </w:r>
      <w:r w:rsidR="00C65FBA" w:rsidRPr="004B4BC6">
        <w:rPr>
          <w:color w:val="595959" w:themeColor="text1" w:themeTint="A6"/>
        </w:rPr>
        <w:t xml:space="preserve">. </w:t>
      </w:r>
    </w:p>
    <w:p w14:paraId="56016758" w14:textId="29DC37C7" w:rsidR="003A3A30" w:rsidRPr="004B4BC6" w:rsidRDefault="0007647F" w:rsidP="00130CA1">
      <w:pPr>
        <w:pStyle w:val="Prrafodelista"/>
        <w:numPr>
          <w:ilvl w:val="0"/>
          <w:numId w:val="4"/>
        </w:numPr>
        <w:ind w:left="1077" w:hanging="357"/>
        <w:contextualSpacing w:val="0"/>
        <w:jc w:val="both"/>
        <w:rPr>
          <w:color w:val="595959" w:themeColor="text1" w:themeTint="A6"/>
        </w:rPr>
      </w:pPr>
      <w:r w:rsidRPr="004B4BC6">
        <w:rPr>
          <w:b/>
          <w:color w:val="595959" w:themeColor="text1" w:themeTint="A6"/>
        </w:rPr>
        <w:t>Intereses:</w:t>
      </w:r>
      <w:r w:rsidRPr="004B4BC6">
        <w:rPr>
          <w:color w:val="595959" w:themeColor="text1" w:themeTint="A6"/>
        </w:rPr>
        <w:t xml:space="preserve"> Las bases de datos no permiten conocer los i</w:t>
      </w:r>
      <w:r w:rsidR="0027718E" w:rsidRPr="004B4BC6">
        <w:rPr>
          <w:color w:val="595959" w:themeColor="text1" w:themeTint="A6"/>
        </w:rPr>
        <w:t>ntereses</w:t>
      </w:r>
      <w:r w:rsidRPr="004B4BC6">
        <w:rPr>
          <w:color w:val="595959" w:themeColor="text1" w:themeTint="A6"/>
        </w:rPr>
        <w:t xml:space="preserve"> </w:t>
      </w:r>
      <w:r w:rsidR="0027718E" w:rsidRPr="004B4BC6">
        <w:rPr>
          <w:color w:val="595959" w:themeColor="text1" w:themeTint="A6"/>
        </w:rPr>
        <w:t xml:space="preserve">bancarios </w:t>
      </w:r>
      <w:r w:rsidRPr="004B4BC6">
        <w:rPr>
          <w:color w:val="595959" w:themeColor="text1" w:themeTint="A6"/>
        </w:rPr>
        <w:t xml:space="preserve">obtenidos </w:t>
      </w:r>
      <w:r w:rsidR="0027718E" w:rsidRPr="004B4BC6">
        <w:rPr>
          <w:color w:val="595959" w:themeColor="text1" w:themeTint="A6"/>
        </w:rPr>
        <w:t>por</w:t>
      </w:r>
      <w:r w:rsidR="00B27458" w:rsidRPr="004B4BC6">
        <w:rPr>
          <w:color w:val="595959" w:themeColor="text1" w:themeTint="A6"/>
        </w:rPr>
        <w:t xml:space="preserve"> </w:t>
      </w:r>
      <w:r w:rsidRPr="004B4BC6">
        <w:rPr>
          <w:color w:val="595959" w:themeColor="text1" w:themeTint="A6"/>
        </w:rPr>
        <w:t xml:space="preserve"> las donatar</w:t>
      </w:r>
      <w:r w:rsidR="0027718E" w:rsidRPr="004B4BC6">
        <w:rPr>
          <w:color w:val="595959" w:themeColor="text1" w:themeTint="A6"/>
        </w:rPr>
        <w:t xml:space="preserve">ias y fideicomisos autorizados, así como su destino. </w:t>
      </w:r>
    </w:p>
    <w:p w14:paraId="1E7F27F9" w14:textId="38AAB422" w:rsidR="0007647F" w:rsidRPr="004B4BC6" w:rsidRDefault="0068126E" w:rsidP="00130CA1">
      <w:pPr>
        <w:pStyle w:val="Prrafodelista"/>
        <w:numPr>
          <w:ilvl w:val="0"/>
          <w:numId w:val="4"/>
        </w:numPr>
        <w:ind w:left="1077" w:hanging="357"/>
        <w:contextualSpacing w:val="0"/>
        <w:jc w:val="both"/>
        <w:rPr>
          <w:color w:val="595959" w:themeColor="text1" w:themeTint="A6"/>
        </w:rPr>
      </w:pPr>
      <w:r w:rsidRPr="004B4BC6">
        <w:rPr>
          <w:b/>
          <w:color w:val="595959" w:themeColor="text1" w:themeTint="A6"/>
        </w:rPr>
        <w:t>Informes técnicos y financieros del ejercicio de los recursos:</w:t>
      </w:r>
      <w:r w:rsidRPr="004B4BC6">
        <w:rPr>
          <w:color w:val="595959" w:themeColor="text1" w:themeTint="A6"/>
        </w:rPr>
        <w:t xml:space="preserve"> Si bien las bases de datos incluyen</w:t>
      </w:r>
      <w:r w:rsidR="0027718E" w:rsidRPr="004B4BC6">
        <w:rPr>
          <w:color w:val="595959" w:themeColor="text1" w:themeTint="A6"/>
        </w:rPr>
        <w:t>,</w:t>
      </w:r>
      <w:r w:rsidRPr="004B4BC6">
        <w:rPr>
          <w:color w:val="595959" w:themeColor="text1" w:themeTint="A6"/>
        </w:rPr>
        <w:t xml:space="preserve"> en algunos casos</w:t>
      </w:r>
      <w:r w:rsidR="0027718E" w:rsidRPr="004B4BC6">
        <w:rPr>
          <w:color w:val="595959" w:themeColor="text1" w:themeTint="A6"/>
        </w:rPr>
        <w:t>,</w:t>
      </w:r>
      <w:r w:rsidRPr="004B4BC6">
        <w:rPr>
          <w:color w:val="595959" w:themeColor="text1" w:themeTint="A6"/>
        </w:rPr>
        <w:t xml:space="preserve"> el uso específico</w:t>
      </w:r>
      <w:r w:rsidR="0027718E" w:rsidRPr="004B4BC6">
        <w:rPr>
          <w:color w:val="595959" w:themeColor="text1" w:themeTint="A6"/>
        </w:rPr>
        <w:t xml:space="preserve"> que se le dio a l</w:t>
      </w:r>
      <w:r w:rsidRPr="004B4BC6">
        <w:rPr>
          <w:color w:val="595959" w:themeColor="text1" w:themeTint="A6"/>
        </w:rPr>
        <w:t>os recursos, la explicación resulta insuficiente. Es indispensable que se solicite un informe técnico y financiero del origen y uso de los recursos recaudados y se ponga a disponibilidad de la ciudadanía</w:t>
      </w:r>
      <w:r w:rsidR="004B4BC6" w:rsidRPr="004B4BC6">
        <w:rPr>
          <w:color w:val="595959" w:themeColor="text1" w:themeTint="A6"/>
        </w:rPr>
        <w:t>.</w:t>
      </w:r>
    </w:p>
    <w:p w14:paraId="2BB5ED53" w14:textId="34D73F1C" w:rsidR="008A34AE" w:rsidRDefault="00F35562" w:rsidP="00F80677">
      <w:pPr>
        <w:pStyle w:val="Ttulo2"/>
      </w:pPr>
      <w:r>
        <w:t>Donativos a organizaciones o donatarias no autorizadas por la SHCP</w:t>
      </w:r>
      <w:bookmarkEnd w:id="18"/>
    </w:p>
    <w:p w14:paraId="7D5E51E8" w14:textId="033A62D9" w:rsidR="008A34AE" w:rsidRDefault="00F35562">
      <w:pPr>
        <w:contextualSpacing w:val="0"/>
        <w:jc w:val="both"/>
        <w:rPr>
          <w:color w:val="595959"/>
        </w:rPr>
      </w:pPr>
      <w:r>
        <w:rPr>
          <w:color w:val="595959"/>
        </w:rPr>
        <w:t>Después de los sismos</w:t>
      </w:r>
      <w:r w:rsidR="003D2907">
        <w:rPr>
          <w:color w:val="595959"/>
        </w:rPr>
        <w:t>,</w:t>
      </w:r>
      <w:r>
        <w:rPr>
          <w:color w:val="595959"/>
        </w:rPr>
        <w:t xml:space="preserve"> surgieron iniciativas, grupos ciudadanos o figuras públicas que recaudaron recursos mediante diferentes vías, incluida la recaudación mediante plataformas virtuales. No todas estas iniciativas u organizaciones son donatarias autorizadas por la </w:t>
      </w:r>
      <w:r>
        <w:rPr>
          <w:color w:val="595959"/>
          <w:sz w:val="20"/>
          <w:szCs w:val="20"/>
        </w:rPr>
        <w:t>SHCP</w:t>
      </w:r>
      <w:r>
        <w:rPr>
          <w:color w:val="595959"/>
        </w:rPr>
        <w:t xml:space="preserve"> para recibir donativos deducibles que, por sus características, al ser por ejemplo movimientos locales de base o por ser iniciativas ad hoc, no se consolidaron como donatarias establecidas; sin embargo, muchas de ellas recibieron y canalizaron recursos. </w:t>
      </w:r>
    </w:p>
    <w:p w14:paraId="2679196F" w14:textId="77777777" w:rsidR="008A34AE" w:rsidRDefault="00F35562" w:rsidP="000951BC">
      <w:pPr>
        <w:ind w:firstLine="720"/>
        <w:contextualSpacing w:val="0"/>
        <w:jc w:val="both"/>
        <w:rPr>
          <w:color w:val="595959"/>
        </w:rPr>
      </w:pPr>
      <w:r>
        <w:rPr>
          <w:color w:val="595959"/>
        </w:rPr>
        <w:t xml:space="preserve">No obstante, dado que no hay una obligación expresa de hacer públicas las donaciones ni su destino para este tipo de entidades es imposible rastrear los recursos en </w:t>
      </w:r>
      <w:r w:rsidR="003D2907">
        <w:rPr>
          <w:color w:val="595959"/>
        </w:rPr>
        <w:t>s</w:t>
      </w:r>
      <w:r>
        <w:rPr>
          <w:color w:val="595959"/>
        </w:rPr>
        <w:t>u totalidad</w:t>
      </w:r>
      <w:r w:rsidR="003D2907">
        <w:rPr>
          <w:color w:val="595959"/>
        </w:rPr>
        <w:t>,</w:t>
      </w:r>
      <w:r>
        <w:rPr>
          <w:color w:val="595959"/>
        </w:rPr>
        <w:t xml:space="preserve"> ya que depende de la voluntad particular de cada entidad u organización receptora.</w:t>
      </w:r>
    </w:p>
    <w:p w14:paraId="0ED17D63" w14:textId="77777777" w:rsidR="008A34AE" w:rsidRDefault="00F35562" w:rsidP="00F80677">
      <w:pPr>
        <w:pStyle w:val="Ttulo2"/>
      </w:pPr>
      <w:bookmarkStart w:id="19" w:name="_Toc524361296"/>
      <w:r>
        <w:lastRenderedPageBreak/>
        <w:t>Herramientas y estudios para el seguimiento a recursos</w:t>
      </w:r>
      <w:bookmarkEnd w:id="19"/>
      <w:r>
        <w:t xml:space="preserve"> </w:t>
      </w:r>
    </w:p>
    <w:p w14:paraId="15C3EC13" w14:textId="77777777" w:rsidR="008A34AE" w:rsidRDefault="00F35562">
      <w:pPr>
        <w:contextualSpacing w:val="0"/>
        <w:jc w:val="both"/>
        <w:rPr>
          <w:color w:val="595959"/>
        </w:rPr>
      </w:pPr>
      <w:r>
        <w:rPr>
          <w:color w:val="595959"/>
        </w:rPr>
        <w:t xml:space="preserve">Adicionalmente a las herramientas creadas por el gobierno, como el portal </w:t>
      </w:r>
      <w:r>
        <w:rPr>
          <w:color w:val="595959"/>
          <w:sz w:val="20"/>
          <w:szCs w:val="20"/>
        </w:rPr>
        <w:t xml:space="preserve">FM-TP </w:t>
      </w:r>
      <w:r>
        <w:rPr>
          <w:color w:val="595959"/>
        </w:rPr>
        <w:t xml:space="preserve">o los informes de transparencia de la </w:t>
      </w:r>
      <w:r>
        <w:rPr>
          <w:color w:val="595959"/>
          <w:sz w:val="20"/>
          <w:szCs w:val="20"/>
        </w:rPr>
        <w:t>SHCP</w:t>
      </w:r>
      <w:r>
        <w:rPr>
          <w:color w:val="595959"/>
        </w:rPr>
        <w:t xml:space="preserve">, también hubo esfuerzos para dar a conocer información sobre los recursos públicos y privados a fin de concentrarla o darle seguimiento. </w:t>
      </w:r>
    </w:p>
    <w:p w14:paraId="184455B8" w14:textId="77777777" w:rsidR="008A34AE" w:rsidRDefault="00F35562">
      <w:pPr>
        <w:ind w:firstLine="720"/>
        <w:contextualSpacing w:val="0"/>
        <w:jc w:val="both"/>
        <w:rPr>
          <w:color w:val="595959"/>
        </w:rPr>
      </w:pPr>
      <w:r>
        <w:rPr>
          <w:color w:val="595959"/>
        </w:rPr>
        <w:t>Algunas organizaciones de sociedad civil llevamos a cabo el rastreo de las donaciones privadas relacionadas con la reconstrucción, que fueron alrededor de 3.1 mil millones de pesos, 17 millones de dólares y 13 mil libras</w:t>
      </w:r>
      <w:r>
        <w:rPr>
          <w:color w:val="595959"/>
          <w:vertAlign w:val="superscript"/>
        </w:rPr>
        <w:footnoteReference w:id="19"/>
      </w:r>
      <w:r>
        <w:rPr>
          <w:color w:val="595959"/>
        </w:rPr>
        <w:t xml:space="preserve">. No obstante, dada la heterogeneidad de prácticas de transparencia y rendición de cuentas por parte de entidades privadas como donatarias y fideicomisos autorizados </w:t>
      </w:r>
      <w:r w:rsidR="003D2907">
        <w:rPr>
          <w:color w:val="595959"/>
        </w:rPr>
        <w:t>―</w:t>
      </w:r>
      <w:r>
        <w:rPr>
          <w:color w:val="595959"/>
        </w:rPr>
        <w:t>fuera de la entrega de los informes de transparencia para la Secretaría de Hacienda</w:t>
      </w:r>
      <w:r w:rsidR="003D2907">
        <w:rPr>
          <w:color w:val="595959"/>
        </w:rPr>
        <w:t>―,</w:t>
      </w:r>
      <w:r>
        <w:rPr>
          <w:color w:val="595959"/>
        </w:rPr>
        <w:t xml:space="preserve"> y de no contar con el panorama completo de las organizaciones que han trabajado sin estar legalmente constituidas o ser donatarias autorizadas; es casi imposible dar seguimiento puntual del origen y destino de estos recursos. Además, la dispersión y falta de accesibilidad de la información dificulta el rastreo de esta.</w:t>
      </w:r>
    </w:p>
    <w:p w14:paraId="10992BE5" w14:textId="71EEDE85" w:rsidR="008A34AE" w:rsidRDefault="00F35562">
      <w:pPr>
        <w:ind w:firstLine="720"/>
        <w:contextualSpacing w:val="0"/>
        <w:jc w:val="both"/>
        <w:rPr>
          <w:color w:val="595959"/>
        </w:rPr>
      </w:pPr>
      <w:r>
        <w:rPr>
          <w:color w:val="595959"/>
        </w:rPr>
        <w:t>Una herramienta privada a destacar fue el esfuerzo de Brigada</w:t>
      </w:r>
      <w:r w:rsidR="0015017C">
        <w:rPr>
          <w:rStyle w:val="Refdenotaalpie"/>
          <w:color w:val="595959"/>
        </w:rPr>
        <w:footnoteReference w:id="20"/>
      </w:r>
      <w:r>
        <w:rPr>
          <w:color w:val="595959"/>
        </w:rPr>
        <w:t xml:space="preserve"> que buscó crear mecanismos para la recuperación ante desastres naturales y la acción coordinada ante emergencias</w:t>
      </w:r>
      <w:r w:rsidR="0015017C">
        <w:rPr>
          <w:color w:val="595959"/>
        </w:rPr>
        <w:t>,</w:t>
      </w:r>
      <w:r>
        <w:rPr>
          <w:color w:val="595959"/>
        </w:rPr>
        <w:t xml:space="preserve"> a través de generación de información, creación de redes entre personas y el uso de nuevas tecnologías. A partir de 2018, </w:t>
      </w:r>
      <w:r w:rsidRPr="00ED16E8">
        <w:rPr>
          <w:color w:val="595959"/>
        </w:rPr>
        <w:t>Brigada</w:t>
      </w:r>
      <w:r w:rsidRPr="0015017C">
        <w:rPr>
          <w:color w:val="595959"/>
        </w:rPr>
        <w:t xml:space="preserve"> </w:t>
      </w:r>
      <w:r>
        <w:rPr>
          <w:color w:val="595959"/>
        </w:rPr>
        <w:t>visibiliza la labor de los distintos proyectos</w:t>
      </w:r>
      <w:r w:rsidR="0015017C">
        <w:rPr>
          <w:color w:val="595959"/>
        </w:rPr>
        <w:t>,</w:t>
      </w:r>
      <w:r>
        <w:rPr>
          <w:color w:val="595959"/>
        </w:rPr>
        <w:t xml:space="preserve"> operando en torno a la reconstrucción, </w:t>
      </w:r>
      <w:r w:rsidR="0015017C">
        <w:rPr>
          <w:color w:val="595959"/>
        </w:rPr>
        <w:t>lo que ha permitido</w:t>
      </w:r>
      <w:r>
        <w:rPr>
          <w:color w:val="595959"/>
        </w:rPr>
        <w:t xml:space="preserve"> vincular recursos de donadores y voluntarios a donde se necesitan,</w:t>
      </w:r>
      <w:r w:rsidR="0015017C">
        <w:rPr>
          <w:color w:val="595959"/>
        </w:rPr>
        <w:t xml:space="preserve"> así como visibilizar</w:t>
      </w:r>
      <w:r>
        <w:rPr>
          <w:color w:val="595959"/>
        </w:rPr>
        <w:t xml:space="preserve"> los sitios donde la ayuda es aún requerida. </w:t>
      </w:r>
      <w:r>
        <w:rPr>
          <w:i/>
          <w:color w:val="595959"/>
        </w:rPr>
        <w:t>Brigada</w:t>
      </w:r>
      <w:r>
        <w:rPr>
          <w:color w:val="595959"/>
        </w:rPr>
        <w:t xml:space="preserve"> tiene a la fecha información provista por 170 organizaciones que apoyan a 257 proyectos de reconstrucción con un total de $1,126.6 millones de pesos.</w:t>
      </w:r>
    </w:p>
    <w:p w14:paraId="5F359E92" w14:textId="77777777" w:rsidR="008A34AE" w:rsidRPr="000951BC" w:rsidRDefault="00F35562" w:rsidP="000951BC">
      <w:pPr>
        <w:ind w:firstLine="720"/>
        <w:contextualSpacing w:val="0"/>
        <w:jc w:val="both"/>
        <w:rPr>
          <w:color w:val="595959"/>
        </w:rPr>
      </w:pPr>
      <w:r>
        <w:rPr>
          <w:color w:val="595959"/>
        </w:rPr>
        <w:t xml:space="preserve">Finalmente, se hicieron esfuerzos de seguimiento a recursos tales como los estudios del Instituto Belisario Domínguez del Senado de la República como </w:t>
      </w:r>
      <w:r>
        <w:rPr>
          <w:i/>
          <w:color w:val="595959"/>
        </w:rPr>
        <w:t>Aportaciones del sector privado y la sociedad civil de México y donaciones internacionales en apoyo a las fases de emergencia y reconstrucción tras los sismos de 2017</w:t>
      </w:r>
      <w:r>
        <w:rPr>
          <w:color w:val="595959"/>
          <w:vertAlign w:val="superscript"/>
        </w:rPr>
        <w:footnoteReference w:id="21"/>
      </w:r>
      <w:r>
        <w:rPr>
          <w:color w:val="595959"/>
        </w:rPr>
        <w:t xml:space="preserve">; los diagnósticos y estudios del Programa Interdisciplinario de Rendición de Cuentas </w:t>
      </w:r>
      <w:r>
        <w:rPr>
          <w:color w:val="595959"/>
          <w:sz w:val="20"/>
          <w:szCs w:val="20"/>
        </w:rPr>
        <w:t xml:space="preserve">(PIRC) </w:t>
      </w:r>
      <w:r>
        <w:rPr>
          <w:color w:val="595959"/>
        </w:rPr>
        <w:t>del Centro de Investigación y Docencia Económicas</w:t>
      </w:r>
      <w:r>
        <w:rPr>
          <w:color w:val="595959"/>
          <w:vertAlign w:val="superscript"/>
        </w:rPr>
        <w:footnoteReference w:id="22"/>
      </w:r>
      <w:r>
        <w:rPr>
          <w:color w:val="595959"/>
        </w:rPr>
        <w:t xml:space="preserve"> y los estudios, comunicados y recomendaciones</w:t>
      </w:r>
      <w:r>
        <w:rPr>
          <w:color w:val="595959"/>
          <w:vertAlign w:val="superscript"/>
        </w:rPr>
        <w:footnoteReference w:id="23"/>
      </w:r>
      <w:r>
        <w:rPr>
          <w:color w:val="595959"/>
        </w:rPr>
        <w:t xml:space="preserve"> de algunas organizaciones integrantes de #Epicentro, entre los que destaca el </w:t>
      </w:r>
      <w:r>
        <w:rPr>
          <w:i/>
          <w:color w:val="595959"/>
        </w:rPr>
        <w:t>Informe sobre transparencia y rendición de cuentas de los recursos públicos y privados para la reconstrucción a seis meses de los sismos</w:t>
      </w:r>
      <w:r>
        <w:rPr>
          <w:color w:val="595959"/>
        </w:rPr>
        <w:t>.</w:t>
      </w:r>
    </w:p>
    <w:p w14:paraId="27113197" w14:textId="77777777" w:rsidR="008A34AE" w:rsidRPr="000951BC" w:rsidRDefault="00F35562" w:rsidP="00F80677">
      <w:pPr>
        <w:pStyle w:val="Ttulo1"/>
      </w:pPr>
      <w:bookmarkStart w:id="20" w:name="_Toc524361297"/>
      <w:r w:rsidRPr="000951BC">
        <w:t>Conclusiones</w:t>
      </w:r>
      <w:bookmarkEnd w:id="20"/>
      <w:r w:rsidRPr="000951BC">
        <w:t xml:space="preserve"> </w:t>
      </w:r>
    </w:p>
    <w:p w14:paraId="6231BACA" w14:textId="6CDD770C" w:rsidR="00B27458" w:rsidRPr="004B4BC6" w:rsidRDefault="00F35562">
      <w:pPr>
        <w:contextualSpacing w:val="0"/>
        <w:jc w:val="both"/>
        <w:rPr>
          <w:color w:val="595959" w:themeColor="text1" w:themeTint="A6"/>
        </w:rPr>
      </w:pPr>
      <w:r w:rsidRPr="004B4BC6">
        <w:rPr>
          <w:color w:val="595959" w:themeColor="text1" w:themeTint="A6"/>
        </w:rPr>
        <w:t>A la luz de todo lo expuesto, es fundamental que, a un año de los sismos,</w:t>
      </w:r>
      <w:r w:rsidR="00B27458" w:rsidRPr="004B4BC6">
        <w:rPr>
          <w:color w:val="595959" w:themeColor="text1" w:themeTint="A6"/>
        </w:rPr>
        <w:t xml:space="preserve"> se conozca el origen y destino de los recursos públicos y privados mediante herramientas completas y accesibles a la ciudadanía. Hasta ahora, con la información pública disponible</w:t>
      </w:r>
      <w:r w:rsidR="004B4BC6" w:rsidRPr="004B4BC6">
        <w:rPr>
          <w:color w:val="595959" w:themeColor="text1" w:themeTint="A6"/>
        </w:rPr>
        <w:t>,</w:t>
      </w:r>
      <w:r w:rsidR="00B27458" w:rsidRPr="004B4BC6">
        <w:rPr>
          <w:color w:val="595959" w:themeColor="text1" w:themeTint="A6"/>
        </w:rPr>
        <w:t xml:space="preserve"> no es </w:t>
      </w:r>
      <w:r w:rsidR="00B27458" w:rsidRPr="004B4BC6">
        <w:rPr>
          <w:color w:val="595959" w:themeColor="text1" w:themeTint="A6"/>
        </w:rPr>
        <w:lastRenderedPageBreak/>
        <w:t>posible tener claridad sobre el estatus de dichos recursos. La información es dispersa, insuficiente y no cuenta con la calidad requerida para poder potenciar la coordinación entre actores de gobierno, sociedad civil y sector privado.</w:t>
      </w:r>
    </w:p>
    <w:p w14:paraId="59A82C92" w14:textId="2F477EF8" w:rsidR="008A34AE" w:rsidRPr="004B4BC6" w:rsidRDefault="00B27458">
      <w:pPr>
        <w:contextualSpacing w:val="0"/>
        <w:jc w:val="both"/>
        <w:rPr>
          <w:color w:val="595959" w:themeColor="text1" w:themeTint="A6"/>
        </w:rPr>
      </w:pPr>
      <w:r w:rsidRPr="004B4BC6">
        <w:rPr>
          <w:color w:val="595959" w:themeColor="text1" w:themeTint="A6"/>
        </w:rPr>
        <w:t xml:space="preserve"> </w:t>
      </w:r>
      <w:r w:rsidRPr="004B4BC6">
        <w:rPr>
          <w:color w:val="595959" w:themeColor="text1" w:themeTint="A6"/>
        </w:rPr>
        <w:tab/>
        <w:t>En cuanto a la información que se encuentra en manos de la administración que concluye, es necesario que</w:t>
      </w:r>
      <w:r w:rsidR="00F35562" w:rsidRPr="004B4BC6">
        <w:rPr>
          <w:color w:val="595959" w:themeColor="text1" w:themeTint="A6"/>
        </w:rPr>
        <w:t xml:space="preserve">, en el marco de la transición, </w:t>
      </w:r>
      <w:r w:rsidRPr="004B4BC6">
        <w:rPr>
          <w:color w:val="595959" w:themeColor="text1" w:themeTint="A6"/>
        </w:rPr>
        <w:t xml:space="preserve">se </w:t>
      </w:r>
      <w:r w:rsidR="00F35562" w:rsidRPr="004B4BC6">
        <w:rPr>
          <w:color w:val="595959" w:themeColor="text1" w:themeTint="A6"/>
        </w:rPr>
        <w:t xml:space="preserve">publique la información que aún está pendiente para realizar una valoración sobre el avance físico y financiero de las obras. Continúa siendo mucha la especulación y la falta de datos contundentes que permitan conocer la proporción de estos avances. </w:t>
      </w:r>
    </w:p>
    <w:p w14:paraId="23C2B827" w14:textId="77777777" w:rsidR="008A34AE" w:rsidRDefault="00F35562">
      <w:pPr>
        <w:contextualSpacing w:val="0"/>
        <w:jc w:val="both"/>
        <w:rPr>
          <w:b/>
          <w:color w:val="595959"/>
        </w:rPr>
      </w:pPr>
      <w:r>
        <w:rPr>
          <w:color w:val="595959"/>
        </w:rPr>
        <w:tab/>
        <w:t xml:space="preserve">En este sentido, es más que pertinente publicar datos útiles en tres grandes categorías: </w:t>
      </w:r>
    </w:p>
    <w:p w14:paraId="001F8537" w14:textId="77777777" w:rsidR="008A34AE" w:rsidRDefault="00F35562">
      <w:pPr>
        <w:numPr>
          <w:ilvl w:val="0"/>
          <w:numId w:val="1"/>
        </w:numPr>
        <w:pBdr>
          <w:top w:val="nil"/>
          <w:left w:val="nil"/>
          <w:bottom w:val="nil"/>
          <w:right w:val="nil"/>
          <w:between w:val="nil"/>
        </w:pBdr>
        <w:contextualSpacing w:val="0"/>
        <w:jc w:val="both"/>
        <w:rPr>
          <w:b/>
          <w:color w:val="595959"/>
        </w:rPr>
      </w:pPr>
      <w:r w:rsidRPr="000951BC">
        <w:rPr>
          <w:b/>
          <w:color w:val="31849B" w:themeColor="accent5" w:themeShade="BF"/>
        </w:rPr>
        <w:t xml:space="preserve">Información general: </w:t>
      </w:r>
      <w:r>
        <w:rPr>
          <w:color w:val="595959"/>
        </w:rPr>
        <w:t xml:space="preserve">Informes oficiales de la situación y de los daños generados por los sismos del 7, 19 y 23 de septiembre por entidad federativa, ámbito y sector, así como de su impacto socioeconómico. También es importante la publicación de los libros blancos del proceso. </w:t>
      </w:r>
    </w:p>
    <w:p w14:paraId="544648AD" w14:textId="77777777" w:rsidR="008A34AE" w:rsidRDefault="00F35562">
      <w:pPr>
        <w:numPr>
          <w:ilvl w:val="0"/>
          <w:numId w:val="1"/>
        </w:numPr>
        <w:pBdr>
          <w:top w:val="nil"/>
          <w:left w:val="nil"/>
          <w:bottom w:val="nil"/>
          <w:right w:val="nil"/>
          <w:between w:val="nil"/>
        </w:pBdr>
        <w:contextualSpacing w:val="0"/>
        <w:jc w:val="both"/>
        <w:rPr>
          <w:b/>
          <w:color w:val="595959"/>
        </w:rPr>
      </w:pPr>
      <w:r w:rsidRPr="000951BC">
        <w:rPr>
          <w:b/>
          <w:color w:val="31849B" w:themeColor="accent5" w:themeShade="BF"/>
        </w:rPr>
        <w:t xml:space="preserve">Información financiera: </w:t>
      </w:r>
      <w:r>
        <w:rPr>
          <w:color w:val="595959"/>
        </w:rPr>
        <w:t xml:space="preserve">Informes presupuestales y financieros actualizados que, con claridad, indiquen lo aprobado, asignado, ejercido y comprometido por sector, así como los recursos generados por la contratación y operación de seguros y bonos catastróficos. </w:t>
      </w:r>
    </w:p>
    <w:p w14:paraId="275EE972" w14:textId="73DB7D4A" w:rsidR="008A34AE" w:rsidRDefault="00F35562">
      <w:pPr>
        <w:ind w:left="709" w:firstLine="720"/>
        <w:contextualSpacing w:val="0"/>
        <w:jc w:val="both"/>
        <w:rPr>
          <w:color w:val="595959"/>
        </w:rPr>
      </w:pPr>
      <w:r>
        <w:rPr>
          <w:color w:val="595959"/>
        </w:rPr>
        <w:t xml:space="preserve">Por otro lado, es necesario publicar información sobre los contratos, las aportaciones estatales y su consistencia con el avance financiero de las obras y acciones. En este sentido, también es importante brindar mayor luz sobre el funcionamiento de otros fondos además del </w:t>
      </w:r>
      <w:r>
        <w:rPr>
          <w:color w:val="595959"/>
          <w:sz w:val="20"/>
          <w:szCs w:val="20"/>
        </w:rPr>
        <w:t>FONDEN</w:t>
      </w:r>
      <w:r>
        <w:rPr>
          <w:color w:val="595959"/>
        </w:rPr>
        <w:t xml:space="preserve">. Por ejemplo, se deben dar a conocer las adquisiciones de Bonos Cupón Cero al amparo de créditos autorizados para entidades federativas afectadas en el marco del </w:t>
      </w:r>
      <w:r>
        <w:rPr>
          <w:color w:val="595959"/>
          <w:sz w:val="20"/>
          <w:szCs w:val="20"/>
        </w:rPr>
        <w:t>FONREC</w:t>
      </w:r>
      <w:r>
        <w:rPr>
          <w:color w:val="595959"/>
        </w:rPr>
        <w:t xml:space="preserve"> y el ejercicio de recursos del Fondo para la Prevención de Desastres Naturales </w:t>
      </w:r>
      <w:r>
        <w:rPr>
          <w:color w:val="595959"/>
          <w:sz w:val="20"/>
          <w:szCs w:val="20"/>
        </w:rPr>
        <w:t>(FOPREDEN)</w:t>
      </w:r>
      <w:r>
        <w:rPr>
          <w:color w:val="595959"/>
        </w:rPr>
        <w:t>.</w:t>
      </w:r>
    </w:p>
    <w:p w14:paraId="7F2E7F0B" w14:textId="77777777" w:rsidR="008A34AE" w:rsidRDefault="00F35562">
      <w:pPr>
        <w:ind w:left="709" w:firstLine="720"/>
        <w:contextualSpacing w:val="0"/>
        <w:jc w:val="both"/>
        <w:rPr>
          <w:color w:val="595959"/>
        </w:rPr>
      </w:pPr>
      <w:r>
        <w:rPr>
          <w:color w:val="595959"/>
        </w:rPr>
        <w:t xml:space="preserve">Además, sobresale la importancia de publicar información relativa al estado que guarda el presupuesto de cada dependencia involucrada en el proceso </w:t>
      </w:r>
      <w:r w:rsidR="0015017C">
        <w:rPr>
          <w:color w:val="595959"/>
        </w:rPr>
        <w:t xml:space="preserve">de </w:t>
      </w:r>
      <w:r>
        <w:rPr>
          <w:color w:val="595959"/>
        </w:rPr>
        <w:t>reconstrucción. En este sentido, también es importante conocer cómo ha avanzado la integración del Atlas Nacional de Rie</w:t>
      </w:r>
      <w:r w:rsidR="0015017C">
        <w:rPr>
          <w:color w:val="595959"/>
        </w:rPr>
        <w:t>s</w:t>
      </w:r>
      <w:r>
        <w:rPr>
          <w:color w:val="595959"/>
        </w:rPr>
        <w:t xml:space="preserve">gos, en términos de los recursos aprobados y ejercidos para este fin, más cuando fue parte de las estrategias propuestas en el Plan Nacional de Desarrollo </w:t>
      </w:r>
      <w:r>
        <w:rPr>
          <w:color w:val="595959"/>
          <w:sz w:val="20"/>
          <w:szCs w:val="20"/>
        </w:rPr>
        <w:t xml:space="preserve">(PND) </w:t>
      </w:r>
      <w:r>
        <w:rPr>
          <w:color w:val="595959"/>
        </w:rPr>
        <w:t xml:space="preserve">2013-2018. </w:t>
      </w:r>
    </w:p>
    <w:p w14:paraId="35CCD7E3" w14:textId="77777777" w:rsidR="008A34AE" w:rsidRDefault="00F35562">
      <w:pPr>
        <w:numPr>
          <w:ilvl w:val="0"/>
          <w:numId w:val="2"/>
        </w:numPr>
        <w:pBdr>
          <w:top w:val="nil"/>
          <w:left w:val="nil"/>
          <w:bottom w:val="nil"/>
          <w:right w:val="nil"/>
          <w:between w:val="nil"/>
        </w:pBdr>
        <w:contextualSpacing w:val="0"/>
        <w:jc w:val="both"/>
        <w:rPr>
          <w:b/>
          <w:color w:val="595959"/>
        </w:rPr>
      </w:pPr>
      <w:r w:rsidRPr="000951BC">
        <w:rPr>
          <w:b/>
          <w:color w:val="31849B" w:themeColor="accent5" w:themeShade="BF"/>
        </w:rPr>
        <w:t xml:space="preserve">Información de gestión: </w:t>
      </w:r>
      <w:r>
        <w:rPr>
          <w:color w:val="595959"/>
        </w:rPr>
        <w:t>Diagnósticos, dictámenes, criterios, metodologías, evidencia documental y fotográfica para determinar los tipos de daños categorizados por sector y población distribuida por sexo, grupos de edades, ámbito, actividad y nivel socioeconómico tanto a nivel nacional como por entidad federativa.</w:t>
      </w:r>
    </w:p>
    <w:p w14:paraId="0E82E1EE" w14:textId="77777777" w:rsidR="008A34AE" w:rsidRDefault="00F35562">
      <w:pPr>
        <w:ind w:left="709" w:firstLine="720"/>
        <w:contextualSpacing w:val="0"/>
        <w:jc w:val="both"/>
        <w:rPr>
          <w:color w:val="595959"/>
        </w:rPr>
      </w:pPr>
      <w:r>
        <w:rPr>
          <w:color w:val="595959"/>
        </w:rPr>
        <w:t xml:space="preserve">Asimismo, la publicación de los planes de trabajo desarrollados para atender la emergencia y la reconstrucción a nivel local, estatal y nacional; así como los censos de daños con evidencia documental de los dictámenes técnicos y soporte fotográfico por sector (vivienda, infraestructura, escuelas, centros de salud, patrimonio cultural e histórico, etc.), por municipio y localidad. </w:t>
      </w:r>
    </w:p>
    <w:p w14:paraId="4E221F5B" w14:textId="46628315" w:rsidR="008A34AE" w:rsidRDefault="00F35562">
      <w:pPr>
        <w:tabs>
          <w:tab w:val="left" w:pos="1133"/>
        </w:tabs>
        <w:ind w:left="709"/>
        <w:contextualSpacing w:val="0"/>
        <w:jc w:val="both"/>
        <w:rPr>
          <w:color w:val="595959"/>
        </w:rPr>
      </w:pPr>
      <w:r>
        <w:rPr>
          <w:color w:val="595959"/>
        </w:rPr>
        <w:t xml:space="preserve">        </w:t>
      </w:r>
      <w:r>
        <w:rPr>
          <w:color w:val="595959"/>
        </w:rPr>
        <w:tab/>
        <w:t>Existe la necesidad de contar con bases de datos (abiert</w:t>
      </w:r>
      <w:r w:rsidR="000C5576">
        <w:rPr>
          <w:color w:val="595959"/>
        </w:rPr>
        <w:t>a</w:t>
      </w:r>
      <w:r>
        <w:rPr>
          <w:color w:val="595959"/>
        </w:rPr>
        <w:t xml:space="preserve">s) completas que permitan identificar a las y los beneficiarios de los apoyos entregados, dados de baja o retirados por cambio de tipo de daño. En particular, se requiere tener padrones de beneficiarios de acuerdo con los criterios establecidos en la Ley General de Transparencia y Acceso a la Información Pública </w:t>
      </w:r>
      <w:r>
        <w:rPr>
          <w:color w:val="595959"/>
          <w:sz w:val="20"/>
          <w:szCs w:val="20"/>
        </w:rPr>
        <w:t xml:space="preserve">(LGTAIP). </w:t>
      </w:r>
      <w:r>
        <w:rPr>
          <w:color w:val="595959"/>
        </w:rPr>
        <w:t xml:space="preserve">Además, es crucial contar con los informes del avance físico de las obras, así como de la programación de obras pendientes por sector.  </w:t>
      </w:r>
    </w:p>
    <w:p w14:paraId="0E19D33C" w14:textId="6C1DBAD2" w:rsidR="008A34AE" w:rsidRDefault="00F35562">
      <w:pPr>
        <w:tabs>
          <w:tab w:val="left" w:pos="1133"/>
        </w:tabs>
        <w:ind w:left="709"/>
        <w:contextualSpacing w:val="0"/>
        <w:jc w:val="both"/>
        <w:rPr>
          <w:color w:val="595959"/>
        </w:rPr>
      </w:pPr>
      <w:r>
        <w:rPr>
          <w:color w:val="595959"/>
        </w:rPr>
        <w:lastRenderedPageBreak/>
        <w:t xml:space="preserve">        </w:t>
      </w:r>
      <w:r>
        <w:rPr>
          <w:color w:val="595959"/>
        </w:rPr>
        <w:tab/>
        <w:t>Así, con miras a documentar la experiencia para la creación de una política pública más robusta en materia de disminución de riesgos y atención de desastres, resulta indispensable contar con la sistematización de acciones realizadas durante la fase de emergencia y de reconstrucción por entidad federativa (por ejemplo: instalación de albergues, instalación de centros de acopio, instalación de unidades médicas temporales, instalación de centros educativos temporales, viviendas demolidas, viviendas reforzadas, reconstrucción de escuela</w:t>
      </w:r>
      <w:r w:rsidR="007F3BA1">
        <w:rPr>
          <w:color w:val="595959"/>
        </w:rPr>
        <w:t>s</w:t>
      </w:r>
      <w:r>
        <w:rPr>
          <w:color w:val="595959"/>
        </w:rPr>
        <w:t xml:space="preserve"> y hospitales, escuela segura, etc.). También es prioritario publicar los planes de reactivación económica de las comunidades afectadas e información y manuales de acompañamiento y asistencia técnica utilizados en la reconstrucción de viviendas y supervisión realizada.</w:t>
      </w:r>
    </w:p>
    <w:p w14:paraId="0FC94ADD" w14:textId="77777777" w:rsidR="008A34AE" w:rsidRDefault="008A34AE">
      <w:pPr>
        <w:contextualSpacing w:val="0"/>
        <w:jc w:val="both"/>
        <w:rPr>
          <w:color w:val="595959"/>
        </w:rPr>
      </w:pPr>
    </w:p>
    <w:p w14:paraId="3849BE40" w14:textId="77777777" w:rsidR="008A34AE" w:rsidRDefault="00F35562" w:rsidP="00ED16E8">
      <w:pPr>
        <w:ind w:firstLine="709"/>
        <w:contextualSpacing w:val="0"/>
        <w:jc w:val="both"/>
        <w:rPr>
          <w:color w:val="595959"/>
        </w:rPr>
      </w:pPr>
      <w:r>
        <w:rPr>
          <w:color w:val="595959"/>
        </w:rPr>
        <w:t>En este mismo tenor, también es pertinente que, desde un enfoque de transparencia proactiva, pero, sobre todo</w:t>
      </w:r>
      <w:r w:rsidR="00B325B1">
        <w:rPr>
          <w:color w:val="595959"/>
        </w:rPr>
        <w:t>,</w:t>
      </w:r>
      <w:r>
        <w:rPr>
          <w:color w:val="595959"/>
        </w:rPr>
        <w:t xml:space="preserve"> desde una perspectiva de derechos humanos y de género, comiencen a </w:t>
      </w:r>
      <w:r w:rsidR="00B325B1">
        <w:rPr>
          <w:color w:val="595959"/>
        </w:rPr>
        <w:t>producirse</w:t>
      </w:r>
      <w:r>
        <w:rPr>
          <w:color w:val="595959"/>
        </w:rPr>
        <w:t xml:space="preserve"> y a publicarse datos e información relativa a los protocolos de protección y seguimiento de las y los afectados. Todo, desde las necesidades de los grupos en situación de vulnerabilidad (de todas las personas y de grupos sociales como niñas y niños, juventudes, personas adultas mayores, personas con discapacidad, pueblos y comunidades indígenas). </w:t>
      </w:r>
    </w:p>
    <w:p w14:paraId="00147F69" w14:textId="77777777" w:rsidR="008A34AE" w:rsidRDefault="00F35562">
      <w:pPr>
        <w:contextualSpacing w:val="0"/>
        <w:jc w:val="both"/>
        <w:rPr>
          <w:color w:val="595959"/>
        </w:rPr>
      </w:pPr>
      <w:r>
        <w:rPr>
          <w:color w:val="595959"/>
        </w:rPr>
        <w:tab/>
        <w:t xml:space="preserve">Por lo tanto, también se requeriría </w:t>
      </w:r>
      <w:r w:rsidR="00B325B1">
        <w:rPr>
          <w:color w:val="595959"/>
        </w:rPr>
        <w:t>i</w:t>
      </w:r>
      <w:r>
        <w:rPr>
          <w:color w:val="595959"/>
        </w:rPr>
        <w:t>nformación que permita conocer si hubo participación de las y los damnificados y afectados en la reconstrucción. Así como datos sobre representatividad, estructura, alcance y funcionamiento de estos. Además de la recepción, canalización y atención de quejas, denuncias, reportes</w:t>
      </w:r>
      <w:r w:rsidR="00B325B1">
        <w:rPr>
          <w:color w:val="595959"/>
        </w:rPr>
        <w:t>,</w:t>
      </w:r>
      <w:r>
        <w:rPr>
          <w:color w:val="595959"/>
        </w:rPr>
        <w:t xml:space="preserve"> inconformidades</w:t>
      </w:r>
      <w:r w:rsidR="00B325B1">
        <w:rPr>
          <w:color w:val="595959"/>
        </w:rPr>
        <w:t xml:space="preserve"> y de</w:t>
      </w:r>
      <w:r>
        <w:rPr>
          <w:color w:val="595959"/>
        </w:rPr>
        <w:t xml:space="preserve"> hechos atendidos y resueltos. </w:t>
      </w:r>
    </w:p>
    <w:p w14:paraId="2D6890AC" w14:textId="77777777" w:rsidR="008A34AE" w:rsidRDefault="00F35562">
      <w:pPr>
        <w:ind w:firstLine="720"/>
        <w:contextualSpacing w:val="0"/>
        <w:jc w:val="both"/>
        <w:rPr>
          <w:color w:val="595959"/>
          <w:sz w:val="18"/>
          <w:szCs w:val="18"/>
        </w:rPr>
      </w:pPr>
      <w:r>
        <w:rPr>
          <w:color w:val="595959"/>
        </w:rPr>
        <w:t xml:space="preserve">Y, por último, con respecto a los donativos de índole privada y a partir del análisis de los recursos identificados, existe una gran área de oportunidad para que el sector privado en México mejore sus estándares en materia de transparencia y rendición de cuentas. Lo anterior, impactaría en las acciones relacionadas con temas de filantropía y recaudación de fondos. Es importante enfatizar que aun cuando existieron buenas prácticas por parte de algunas donatarias y fideicomisos, la falta de lineamientos que estandaricen su funcionamiento y reporte, traen consigo retos significativos para valorar sus resultados e impactos. </w:t>
      </w:r>
    </w:p>
    <w:sectPr w:rsidR="008A34AE" w:rsidSect="000951BC">
      <w:pgSz w:w="11909" w:h="16834"/>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1F2BB" w14:textId="77777777" w:rsidR="0040629A" w:rsidRDefault="0040629A">
      <w:pPr>
        <w:spacing w:line="240" w:lineRule="auto"/>
      </w:pPr>
      <w:r>
        <w:separator/>
      </w:r>
    </w:p>
  </w:endnote>
  <w:endnote w:type="continuationSeparator" w:id="0">
    <w:p w14:paraId="2606E627" w14:textId="77777777" w:rsidR="0040629A" w:rsidRDefault="004062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525C7" w14:textId="77777777" w:rsidR="0040629A" w:rsidRDefault="0040629A">
    <w:pPr>
      <w:pBdr>
        <w:top w:val="nil"/>
        <w:left w:val="nil"/>
        <w:bottom w:val="nil"/>
        <w:right w:val="nil"/>
        <w:between w:val="nil"/>
      </w:pBdr>
      <w:tabs>
        <w:tab w:val="center" w:pos="4419"/>
        <w:tab w:val="right" w:pos="8838"/>
      </w:tabs>
      <w:spacing w:line="240" w:lineRule="auto"/>
      <w:contextualSpacing w:val="0"/>
      <w:jc w:val="right"/>
      <w:rPr>
        <w:color w:val="000000"/>
      </w:rPr>
    </w:pPr>
    <w:r>
      <w:rPr>
        <w:color w:val="000000"/>
      </w:rPr>
      <w:fldChar w:fldCharType="begin"/>
    </w:r>
    <w:r>
      <w:rPr>
        <w:color w:val="000000"/>
      </w:rPr>
      <w:instrText>PAGE</w:instrText>
    </w:r>
    <w:r>
      <w:rPr>
        <w:color w:val="000000"/>
      </w:rPr>
      <w:fldChar w:fldCharType="separate"/>
    </w:r>
    <w:r>
      <w:rPr>
        <w:noProof/>
        <w:color w:val="000000"/>
      </w:rPr>
      <w:t>25</w:t>
    </w:r>
    <w:r>
      <w:rPr>
        <w:color w:val="000000"/>
      </w:rPr>
      <w:fldChar w:fldCharType="end"/>
    </w:r>
  </w:p>
  <w:p w14:paraId="14773629" w14:textId="77777777" w:rsidR="0040629A" w:rsidRDefault="0040629A">
    <w:pPr>
      <w:contextualSpacing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8AE0E" w14:textId="77777777" w:rsidR="0040629A" w:rsidRDefault="0040629A">
    <w:pPr>
      <w:pBdr>
        <w:top w:val="nil"/>
        <w:left w:val="nil"/>
        <w:bottom w:val="nil"/>
        <w:right w:val="nil"/>
        <w:between w:val="nil"/>
      </w:pBdr>
      <w:tabs>
        <w:tab w:val="center" w:pos="4419"/>
        <w:tab w:val="right" w:pos="8838"/>
      </w:tabs>
      <w:spacing w:line="240" w:lineRule="auto"/>
      <w:contextualSpacing w:val="0"/>
      <w:jc w:val="right"/>
      <w:rPr>
        <w:color w:val="000000"/>
      </w:rPr>
    </w:pPr>
    <w:r>
      <w:rPr>
        <w:color w:val="000000"/>
      </w:rPr>
      <w:fldChar w:fldCharType="begin"/>
    </w:r>
    <w:r>
      <w:rPr>
        <w:color w:val="000000"/>
      </w:rPr>
      <w:instrText>PAGE</w:instrText>
    </w:r>
    <w:r>
      <w:rPr>
        <w:color w:val="000000"/>
      </w:rPr>
      <w:fldChar w:fldCharType="separate"/>
    </w:r>
    <w:r>
      <w:rPr>
        <w:noProof/>
        <w:color w:val="000000"/>
      </w:rPr>
      <w:t>0</w:t>
    </w:r>
    <w:r>
      <w:rPr>
        <w:color w:val="000000"/>
      </w:rPr>
      <w:fldChar w:fldCharType="end"/>
    </w:r>
  </w:p>
  <w:p w14:paraId="33DA00FD" w14:textId="77777777" w:rsidR="0040629A" w:rsidRDefault="0040629A">
    <w:pPr>
      <w:contextualSpacing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80D42" w14:textId="77777777" w:rsidR="0040629A" w:rsidRDefault="0040629A">
      <w:pPr>
        <w:spacing w:line="240" w:lineRule="auto"/>
      </w:pPr>
      <w:r>
        <w:separator/>
      </w:r>
    </w:p>
  </w:footnote>
  <w:footnote w:type="continuationSeparator" w:id="0">
    <w:p w14:paraId="5EAD40B5" w14:textId="77777777" w:rsidR="0040629A" w:rsidRDefault="0040629A">
      <w:pPr>
        <w:spacing w:line="240" w:lineRule="auto"/>
      </w:pPr>
      <w:r>
        <w:continuationSeparator/>
      </w:r>
    </w:p>
  </w:footnote>
  <w:footnote w:id="1">
    <w:p w14:paraId="42DD3428" w14:textId="77777777" w:rsidR="0040629A" w:rsidRDefault="0040629A">
      <w:pPr>
        <w:spacing w:line="240" w:lineRule="auto"/>
        <w:contextualSpacing w:val="0"/>
        <w:jc w:val="both"/>
        <w:rPr>
          <w:color w:val="595959"/>
          <w:sz w:val="16"/>
          <w:szCs w:val="16"/>
        </w:rPr>
      </w:pPr>
      <w:r>
        <w:rPr>
          <w:vertAlign w:val="superscript"/>
        </w:rPr>
        <w:footnoteRef/>
      </w:r>
      <w:r>
        <w:rPr>
          <w:color w:val="595959"/>
          <w:sz w:val="16"/>
          <w:szCs w:val="16"/>
        </w:rPr>
        <w:t xml:space="preserve"> Fundar, Centro de Análisis e Investigación, A.C., Transparencia Mexicana, Alternativas y Capacidades, MEXIRO A.C. y Fundación Mexicana para la Planeación Familiar (MEXFAM).</w:t>
      </w:r>
    </w:p>
  </w:footnote>
  <w:footnote w:id="2">
    <w:p w14:paraId="3B26AB83" w14:textId="77777777" w:rsidR="0040629A" w:rsidRDefault="0040629A">
      <w:pPr>
        <w:spacing w:line="240" w:lineRule="auto"/>
        <w:contextualSpacing w:val="0"/>
        <w:rPr>
          <w:sz w:val="16"/>
          <w:szCs w:val="16"/>
        </w:rPr>
      </w:pPr>
      <w:r>
        <w:rPr>
          <w:vertAlign w:val="superscript"/>
        </w:rPr>
        <w:footnoteRef/>
      </w:r>
      <w:r>
        <w:rPr>
          <w:color w:val="595959"/>
          <w:sz w:val="16"/>
          <w:szCs w:val="16"/>
        </w:rPr>
        <w:t xml:space="preserve"> En septiembre de 2017, tres sismos afectaron los estados de Chiapas, Ciudad de México, Estado de México, Morelos, Oaxaca, Puebla, Tabasco, Tlaxcala y Veracruz. </w:t>
      </w:r>
    </w:p>
  </w:footnote>
  <w:footnote w:id="3">
    <w:p w14:paraId="6EBAE8C1" w14:textId="6AA64CE6" w:rsidR="00FD095D" w:rsidRPr="00FD095D" w:rsidRDefault="00FD095D" w:rsidP="00965E3B">
      <w:pPr>
        <w:pStyle w:val="Textonotapie"/>
        <w:jc w:val="both"/>
        <w:rPr>
          <w:lang w:val="es-MX"/>
        </w:rPr>
      </w:pPr>
      <w:r w:rsidRPr="00965E3B">
        <w:rPr>
          <w:rStyle w:val="Refdenotaalpie"/>
          <w:color w:val="595959" w:themeColor="text1" w:themeTint="A6"/>
          <w:sz w:val="16"/>
        </w:rPr>
        <w:footnoteRef/>
      </w:r>
      <w:r w:rsidRPr="00965E3B">
        <w:rPr>
          <w:color w:val="595959" w:themeColor="text1" w:themeTint="A6"/>
          <w:sz w:val="16"/>
        </w:rPr>
        <w:t xml:space="preserve"> </w:t>
      </w:r>
      <w:r w:rsidRPr="00965E3B">
        <w:rPr>
          <w:color w:val="595959" w:themeColor="text1" w:themeTint="A6"/>
          <w:sz w:val="16"/>
          <w:lang w:val="es-MX"/>
        </w:rPr>
        <w:t xml:space="preserve">La revisión de esta base de datos se realizó el 6 de septiembre; sin embargo, el 12 de septiembre se subió una actualización </w:t>
      </w:r>
      <w:r w:rsidR="00965E3B" w:rsidRPr="00965E3B">
        <w:rPr>
          <w:color w:val="595959" w:themeColor="text1" w:themeTint="A6"/>
          <w:sz w:val="16"/>
          <w:lang w:val="es-MX"/>
        </w:rPr>
        <w:t xml:space="preserve">de la base y la indicaron con fecha del 7 de septiembre. Dicha actualización implicó la disminución de 566 registros. No se brinda </w:t>
      </w:r>
      <w:r w:rsidR="006A2717" w:rsidRPr="00965E3B">
        <w:rPr>
          <w:color w:val="595959" w:themeColor="text1" w:themeTint="A6"/>
          <w:sz w:val="16"/>
          <w:lang w:val="es-MX"/>
        </w:rPr>
        <w:t>más información</w:t>
      </w:r>
      <w:r w:rsidR="00965E3B" w:rsidRPr="00965E3B">
        <w:rPr>
          <w:color w:val="595959" w:themeColor="text1" w:themeTint="A6"/>
          <w:sz w:val="16"/>
          <w:lang w:val="es-MX"/>
        </w:rPr>
        <w:t xml:space="preserve"> sobre este ajuste en los datos. </w:t>
      </w:r>
    </w:p>
  </w:footnote>
  <w:footnote w:id="4">
    <w:p w14:paraId="73CA8FCE" w14:textId="2EB6529E" w:rsidR="003C3609" w:rsidRPr="003C3609" w:rsidRDefault="003C3609" w:rsidP="00053F77">
      <w:pPr>
        <w:pStyle w:val="Textonotapie"/>
        <w:jc w:val="both"/>
        <w:rPr>
          <w:lang w:val="es-MX"/>
        </w:rPr>
      </w:pPr>
      <w:r>
        <w:rPr>
          <w:rStyle w:val="Refdenotaalpie"/>
        </w:rPr>
        <w:footnoteRef/>
      </w:r>
      <w:r>
        <w:t xml:space="preserve"> </w:t>
      </w:r>
      <w:r w:rsidRPr="00965E3B">
        <w:rPr>
          <w:color w:val="595959" w:themeColor="text1" w:themeTint="A6"/>
          <w:sz w:val="16"/>
          <w:lang w:val="es-MX"/>
        </w:rPr>
        <w:t xml:space="preserve">La revisión de esta base </w:t>
      </w:r>
      <w:r>
        <w:rPr>
          <w:color w:val="595959" w:themeColor="text1" w:themeTint="A6"/>
          <w:sz w:val="16"/>
          <w:lang w:val="es-MX"/>
        </w:rPr>
        <w:t>de datos se realizó el 5</w:t>
      </w:r>
      <w:r w:rsidRPr="00965E3B">
        <w:rPr>
          <w:color w:val="595959" w:themeColor="text1" w:themeTint="A6"/>
          <w:sz w:val="16"/>
          <w:lang w:val="es-MX"/>
        </w:rPr>
        <w:t xml:space="preserve"> de septiembre; sin embargo, el 12 de septiembre se subió una actualización de la base y la indicaron con fecha del 7 de septiembre. Dicha actualizació</w:t>
      </w:r>
      <w:r>
        <w:rPr>
          <w:color w:val="595959" w:themeColor="text1" w:themeTint="A6"/>
          <w:sz w:val="16"/>
          <w:lang w:val="es-MX"/>
        </w:rPr>
        <w:t xml:space="preserve">n implicó la disminución de 17,854 </w:t>
      </w:r>
      <w:r w:rsidRPr="00965E3B">
        <w:rPr>
          <w:color w:val="595959" w:themeColor="text1" w:themeTint="A6"/>
          <w:sz w:val="16"/>
          <w:lang w:val="es-MX"/>
        </w:rPr>
        <w:t>registros. No se brinda más información sobre este ajuste en los datos.</w:t>
      </w:r>
      <w:r w:rsidR="00053F77">
        <w:rPr>
          <w:color w:val="595959" w:themeColor="text1" w:themeTint="A6"/>
          <w:sz w:val="16"/>
          <w:lang w:val="es-MX"/>
        </w:rPr>
        <w:t xml:space="preserve"> Es importante indicar que la base de datos subida en 12 de septiembre, pero que indica como fecha de actualización el 7 de septiembre, contiene información inconsistente con su versión anterior. Además de </w:t>
      </w:r>
      <w:r w:rsidR="00AF7967">
        <w:rPr>
          <w:color w:val="595959" w:themeColor="text1" w:themeTint="A6"/>
          <w:sz w:val="16"/>
          <w:lang w:val="es-MX"/>
        </w:rPr>
        <w:t>l</w:t>
      </w:r>
      <w:r w:rsidR="00053F77">
        <w:rPr>
          <w:color w:val="595959" w:themeColor="text1" w:themeTint="A6"/>
          <w:sz w:val="16"/>
          <w:lang w:val="es-MX"/>
        </w:rPr>
        <w:t xml:space="preserve">os registros que se eliminaron, la información de viviendas con daño parcial y con pérdida total, es contradictoria, en la nueva versión se presenta una proporción de 31% de viviendas con daño parcial y 69% de viviendas con pérdida total. No se puede identificar si fue un error de captura. </w:t>
      </w:r>
    </w:p>
  </w:footnote>
  <w:footnote w:id="5">
    <w:p w14:paraId="558E9748" w14:textId="77777777" w:rsidR="0040629A" w:rsidRDefault="0040629A">
      <w:pPr>
        <w:spacing w:line="240" w:lineRule="auto"/>
        <w:contextualSpacing w:val="0"/>
        <w:jc w:val="both"/>
        <w:rPr>
          <w:sz w:val="20"/>
          <w:szCs w:val="20"/>
        </w:rPr>
      </w:pPr>
      <w:r>
        <w:rPr>
          <w:vertAlign w:val="superscript"/>
        </w:rPr>
        <w:footnoteRef/>
      </w:r>
      <w:r>
        <w:rPr>
          <w:color w:val="595959"/>
          <w:sz w:val="16"/>
          <w:szCs w:val="16"/>
        </w:rPr>
        <w:t xml:space="preserve"> Disponible en: </w:t>
      </w:r>
      <w:hyperlink r:id="rId1">
        <w:r>
          <w:rPr>
            <w:color w:val="1155CC"/>
            <w:sz w:val="16"/>
            <w:szCs w:val="16"/>
            <w:u w:val="single"/>
          </w:rPr>
          <w:t>http://200.57.3.46:443/donatarias/deroga.aspx#</w:t>
        </w:r>
      </w:hyperlink>
      <w:r>
        <w:rPr>
          <w:color w:val="1155CC"/>
          <w:sz w:val="16"/>
          <w:szCs w:val="16"/>
          <w:u w:val="single"/>
        </w:rPr>
        <w:t>.</w:t>
      </w:r>
    </w:p>
    <w:p w14:paraId="5A4E8510" w14:textId="77777777" w:rsidR="0040629A" w:rsidRDefault="0040629A">
      <w:pPr>
        <w:spacing w:line="240" w:lineRule="auto"/>
        <w:contextualSpacing w:val="0"/>
        <w:rPr>
          <w:sz w:val="20"/>
          <w:szCs w:val="20"/>
        </w:rPr>
      </w:pPr>
    </w:p>
  </w:footnote>
  <w:footnote w:id="6">
    <w:p w14:paraId="1153A3D6" w14:textId="77777777" w:rsidR="0040629A" w:rsidRDefault="0040629A">
      <w:pPr>
        <w:spacing w:line="240" w:lineRule="auto"/>
        <w:contextualSpacing w:val="0"/>
        <w:jc w:val="both"/>
        <w:rPr>
          <w:sz w:val="16"/>
          <w:szCs w:val="16"/>
        </w:rPr>
      </w:pPr>
      <w:r>
        <w:rPr>
          <w:vertAlign w:val="superscript"/>
        </w:rPr>
        <w:footnoteRef/>
      </w:r>
      <w:r>
        <w:rPr>
          <w:color w:val="595959"/>
          <w:sz w:val="16"/>
          <w:szCs w:val="16"/>
        </w:rPr>
        <w:t xml:space="preserve"> El Instituto Federal de Telecomunicaciones (IFT); la Comisión Federal de Competencia Económica (COFECE); el Instituto Nacional de Transparencia, Acceso a la Información Pública y Protección de Datos Personales (INAI). Otros poderes como el legislativo y el judicial, y ramos autónomos, incluyendo aportaciones de partidos políticos realizadas a través del Instituto Nacional Electoral (INE). También se tomaron en cuenta los recursos de un fideicomiso creado por un partido político.</w:t>
      </w:r>
    </w:p>
  </w:footnote>
  <w:footnote w:id="7">
    <w:p w14:paraId="50C1073B" w14:textId="77777777" w:rsidR="0040629A" w:rsidRDefault="0040629A">
      <w:pPr>
        <w:spacing w:line="240" w:lineRule="auto"/>
        <w:contextualSpacing w:val="0"/>
        <w:jc w:val="both"/>
        <w:rPr>
          <w:color w:val="595959"/>
          <w:sz w:val="16"/>
          <w:szCs w:val="16"/>
        </w:rPr>
      </w:pPr>
      <w:r>
        <w:rPr>
          <w:vertAlign w:val="superscript"/>
        </w:rPr>
        <w:footnoteRef/>
      </w:r>
      <w:r>
        <w:rPr>
          <w:color w:val="595959"/>
          <w:sz w:val="16"/>
          <w:szCs w:val="16"/>
        </w:rPr>
        <w:t xml:space="preserve"> Resulta importante precisar que el FONREC fue creado a finales de 2010 como un fideicomiso por medio del cual se ofrece, a las entidades afectadas, un esquema crediticio a largo plazo a través del Banco Nacional de Obras y Servicios Públicos S.N.C (Banobras). </w:t>
      </w:r>
    </w:p>
    <w:p w14:paraId="183F4F02" w14:textId="77777777" w:rsidR="0040629A" w:rsidRDefault="0040629A">
      <w:pPr>
        <w:spacing w:line="240" w:lineRule="auto"/>
        <w:ind w:firstLine="720"/>
        <w:contextualSpacing w:val="0"/>
        <w:jc w:val="both"/>
        <w:rPr>
          <w:sz w:val="16"/>
          <w:szCs w:val="16"/>
        </w:rPr>
      </w:pPr>
      <w:r>
        <w:rPr>
          <w:color w:val="595959"/>
          <w:sz w:val="16"/>
          <w:szCs w:val="16"/>
        </w:rPr>
        <w:t xml:space="preserve">Los fines del FONREC consisten en potenciar los recursos presupuestarios asignados en el Presupuesto de Egresos de la Federación (PEF). Lo anterior, a través de su inversión en instrumentos financieros, a efecto de otorgar apoyos financieros a los estados y a la Ciudad de México, consistentes en el pago del principal de los créditos que contraigan con Banobras, destinados a cubrir los costos de acciones de reconstrucción en municipios y demarcaciones territoriales que hubieren sido afectados por desastres naturales a partir de enero de 2010 y años posteriores, que cuenten con la declaratoria de desastre natural emitida por la Secretaría de Gobernación, así como cubrir los montos que se determinen para la entidad federativa en el Comité Técnico del FONDEN. Cabe mencionar en términos de las Reglas de Operación del Fideicomiso, el destino de los créditos y su aplicación es responsabilidad exclusiva de las Entidades Federativas. </w:t>
      </w:r>
    </w:p>
  </w:footnote>
  <w:footnote w:id="8">
    <w:p w14:paraId="4FC6BAC5" w14:textId="0BF21A6D" w:rsidR="0040629A" w:rsidRDefault="0040629A">
      <w:pPr>
        <w:spacing w:line="240" w:lineRule="auto"/>
        <w:contextualSpacing w:val="0"/>
        <w:jc w:val="both"/>
        <w:rPr>
          <w:sz w:val="16"/>
          <w:szCs w:val="16"/>
        </w:rPr>
      </w:pPr>
      <w:r>
        <w:rPr>
          <w:vertAlign w:val="superscript"/>
        </w:rPr>
        <w:footnoteRef/>
      </w:r>
      <w:r>
        <w:rPr>
          <w:color w:val="595959"/>
          <w:sz w:val="16"/>
          <w:szCs w:val="16"/>
        </w:rPr>
        <w:t xml:space="preserve"> Auditoría Superior de la Federación, Esquema de Financiamiento Mediante la Emisión de Bonos Cupón Cero, Auditoría Financiera y de Cumplimiento a la Secretaría de Hacienda y Crédito Público: 16-0-06100-02-0037</w:t>
      </w:r>
      <w:r>
        <w:rPr>
          <w:color w:val="595959"/>
          <w:sz w:val="16"/>
          <w:szCs w:val="16"/>
        </w:rPr>
        <w:br/>
        <w:t xml:space="preserve">37-GB, pp. 19-20. Disponible en </w:t>
      </w:r>
      <w:hyperlink r:id="rId2" w:history="1">
        <w:r w:rsidRPr="0028709C">
          <w:rPr>
            <w:color w:val="595959"/>
            <w:sz w:val="16"/>
            <w:szCs w:val="16"/>
          </w:rPr>
          <w:t>https://www.asf.gob.mx/Trans/Informes/IR2016b/Documentos/Auditorias/2016_0037_a.pdf</w:t>
        </w:r>
      </w:hyperlink>
      <w:r>
        <w:rPr>
          <w:color w:val="595959"/>
          <w:sz w:val="16"/>
          <w:szCs w:val="16"/>
        </w:rPr>
        <w:t xml:space="preserve">  </w:t>
      </w:r>
    </w:p>
  </w:footnote>
  <w:footnote w:id="9">
    <w:p w14:paraId="15F7F681" w14:textId="77777777" w:rsidR="0040629A" w:rsidRDefault="0040629A">
      <w:pPr>
        <w:spacing w:line="240" w:lineRule="auto"/>
        <w:contextualSpacing w:val="0"/>
        <w:jc w:val="both"/>
        <w:rPr>
          <w:color w:val="595959"/>
          <w:sz w:val="16"/>
          <w:szCs w:val="16"/>
        </w:rPr>
      </w:pPr>
      <w:r>
        <w:rPr>
          <w:vertAlign w:val="superscript"/>
        </w:rPr>
        <w:footnoteRef/>
      </w:r>
      <w:r>
        <w:rPr>
          <w:color w:val="595959"/>
          <w:sz w:val="16"/>
          <w:szCs w:val="16"/>
        </w:rPr>
        <w:t xml:space="preserve"> Junta de Coordinación Política: “Senado aporta 50 millones de pesos a fideicomiso para la reconstrucción de vivienda de los afectados de los sismos”. Disponible en http://comunicacion.senado.gob.mx/index.php/informacion/boletines/38723-senado-aporta-50-millones-de-pesos-a-fideicomiso-para-la-reconstruccion-de-vivienda-de-los-afectados-de-los-sismos.html.</w:t>
      </w:r>
    </w:p>
  </w:footnote>
  <w:footnote w:id="10">
    <w:p w14:paraId="64B86BA8" w14:textId="77777777" w:rsidR="0040629A" w:rsidRDefault="0040629A">
      <w:pPr>
        <w:spacing w:line="240" w:lineRule="auto"/>
        <w:contextualSpacing w:val="0"/>
        <w:rPr>
          <w:color w:val="595959"/>
          <w:sz w:val="16"/>
          <w:szCs w:val="16"/>
        </w:rPr>
      </w:pPr>
      <w:r>
        <w:rPr>
          <w:vertAlign w:val="superscript"/>
        </w:rPr>
        <w:footnoteRef/>
      </w:r>
      <w:r>
        <w:rPr>
          <w:color w:val="595959"/>
          <w:sz w:val="16"/>
          <w:szCs w:val="16"/>
        </w:rPr>
        <w:t xml:space="preserve"> Actual presidente electo. </w:t>
      </w:r>
    </w:p>
  </w:footnote>
  <w:footnote w:id="11">
    <w:p w14:paraId="12070019" w14:textId="26C07BD8" w:rsidR="0040629A" w:rsidRDefault="0040629A">
      <w:pPr>
        <w:spacing w:line="240" w:lineRule="auto"/>
        <w:contextualSpacing w:val="0"/>
        <w:jc w:val="both"/>
        <w:rPr>
          <w:sz w:val="16"/>
          <w:szCs w:val="16"/>
        </w:rPr>
      </w:pPr>
      <w:r>
        <w:rPr>
          <w:vertAlign w:val="superscript"/>
        </w:rPr>
        <w:footnoteRef/>
      </w:r>
      <w:r>
        <w:rPr>
          <w:color w:val="595959"/>
          <w:sz w:val="16"/>
          <w:szCs w:val="16"/>
        </w:rPr>
        <w:t xml:space="preserve"> Murayama, Ciro, “La sanción del INE al fideicomiso de Morena”, artículo de Ciro Murayama, publicado en Milenio; </w:t>
      </w:r>
      <w:hyperlink r:id="rId3">
        <w:r>
          <w:rPr>
            <w:color w:val="0000FF"/>
            <w:sz w:val="16"/>
            <w:szCs w:val="16"/>
            <w:u w:val="single"/>
          </w:rPr>
          <w:t>https://centralelectoral.ine.mx/2018/07/19/la-sancion-del-ine-al-fideicomiso-de-morena-articulo-de-ciro-murayama-publicado-en-milenio/Acceso 06/09/2018</w:t>
        </w:r>
      </w:hyperlink>
      <w:r>
        <w:rPr>
          <w:color w:val="0000FF"/>
          <w:sz w:val="16"/>
          <w:szCs w:val="16"/>
          <w:u w:val="single"/>
        </w:rPr>
        <w:t>.</w:t>
      </w:r>
    </w:p>
  </w:footnote>
  <w:footnote w:id="12">
    <w:p w14:paraId="319B806C" w14:textId="07487EA5" w:rsidR="0040629A" w:rsidRDefault="0040629A">
      <w:pPr>
        <w:spacing w:line="240" w:lineRule="auto"/>
        <w:contextualSpacing w:val="0"/>
        <w:rPr>
          <w:sz w:val="16"/>
          <w:szCs w:val="16"/>
        </w:rPr>
      </w:pPr>
      <w:r>
        <w:rPr>
          <w:vertAlign w:val="superscript"/>
        </w:rPr>
        <w:footnoteRef/>
      </w:r>
      <w:r>
        <w:rPr>
          <w:color w:val="595959"/>
          <w:sz w:val="16"/>
          <w:szCs w:val="16"/>
        </w:rPr>
        <w:t xml:space="preserve"> Tribunal Electoral del Poder Judicial de la Federación, </w:t>
      </w:r>
      <w:r>
        <w:rPr>
          <w:i/>
          <w:color w:val="595959"/>
          <w:sz w:val="16"/>
          <w:szCs w:val="16"/>
        </w:rPr>
        <w:t>Recurso de Apelación Expediente SUP-RAP-209/2018 y SUP-RAP-2015/2018</w:t>
      </w:r>
      <w:r>
        <w:rPr>
          <w:color w:val="595959"/>
          <w:sz w:val="16"/>
          <w:szCs w:val="16"/>
        </w:rPr>
        <w:t xml:space="preserve">, agosto 2018, pp.61-62 Acceso 06/09/2018 </w:t>
      </w:r>
      <w:hyperlink r:id="rId4">
        <w:r>
          <w:rPr>
            <w:color w:val="1155CC"/>
            <w:sz w:val="16"/>
            <w:szCs w:val="16"/>
            <w:u w:val="single"/>
          </w:rPr>
          <w:t>http://www.te.gob.mx/EE/SUP/2018/RAP/209/SUP_2018_RAP_209-805779.pdf</w:t>
        </w:r>
      </w:hyperlink>
      <w:r>
        <w:rPr>
          <w:color w:val="1155CC"/>
          <w:sz w:val="16"/>
          <w:szCs w:val="16"/>
          <w:u w:val="single"/>
        </w:rPr>
        <w:t>.</w:t>
      </w:r>
    </w:p>
  </w:footnote>
  <w:footnote w:id="13">
    <w:p w14:paraId="359A71B2" w14:textId="77777777" w:rsidR="0040629A" w:rsidRPr="00ED16E8" w:rsidRDefault="0040629A">
      <w:pPr>
        <w:spacing w:line="240" w:lineRule="auto"/>
        <w:contextualSpacing w:val="0"/>
        <w:jc w:val="both"/>
        <w:rPr>
          <w:color w:val="595959" w:themeColor="text1" w:themeTint="A6"/>
          <w:sz w:val="16"/>
          <w:szCs w:val="16"/>
        </w:rPr>
      </w:pPr>
      <w:r w:rsidRPr="000951BC">
        <w:rPr>
          <w:color w:val="595959" w:themeColor="text1" w:themeTint="A6"/>
          <w:sz w:val="16"/>
          <w:szCs w:val="16"/>
          <w:vertAlign w:val="superscript"/>
        </w:rPr>
        <w:footnoteRef/>
      </w:r>
      <w:r w:rsidRPr="000951BC">
        <w:rPr>
          <w:color w:val="595959" w:themeColor="text1" w:themeTint="A6"/>
          <w:sz w:val="16"/>
          <w:szCs w:val="16"/>
        </w:rPr>
        <w:t xml:space="preserve"> Servicio de Administración Tributaria, </w:t>
      </w:r>
      <w:r w:rsidRPr="000951BC">
        <w:rPr>
          <w:i/>
          <w:color w:val="595959" w:themeColor="text1" w:themeTint="A6"/>
          <w:sz w:val="16"/>
          <w:szCs w:val="16"/>
        </w:rPr>
        <w:t xml:space="preserve">Informes de transparencia relacionados con donativos recibidos por los sismos ocurridos en México durante septiembre de 2017, </w:t>
      </w:r>
      <w:r>
        <w:rPr>
          <w:color w:val="595959" w:themeColor="text1" w:themeTint="A6"/>
          <w:sz w:val="16"/>
          <w:szCs w:val="16"/>
        </w:rPr>
        <w:t>c</w:t>
      </w:r>
      <w:r w:rsidRPr="000951BC">
        <w:rPr>
          <w:color w:val="595959" w:themeColor="text1" w:themeTint="A6"/>
          <w:sz w:val="16"/>
          <w:szCs w:val="16"/>
        </w:rPr>
        <w:t>orte al 31 de mayo de 2018</w:t>
      </w:r>
      <w:r>
        <w:rPr>
          <w:color w:val="595959" w:themeColor="text1" w:themeTint="A6"/>
          <w:sz w:val="16"/>
          <w:szCs w:val="16"/>
        </w:rPr>
        <w:t>.</w:t>
      </w:r>
      <w:r w:rsidRPr="000951BC">
        <w:rPr>
          <w:color w:val="595959" w:themeColor="text1" w:themeTint="A6"/>
          <w:sz w:val="16"/>
          <w:szCs w:val="16"/>
        </w:rPr>
        <w:t xml:space="preserve"> Consultado el 6 de septiembre de 2018</w:t>
      </w:r>
      <w:r>
        <w:rPr>
          <w:color w:val="595959" w:themeColor="text1" w:themeTint="A6"/>
          <w:sz w:val="16"/>
          <w:szCs w:val="16"/>
        </w:rPr>
        <w:t>.</w:t>
      </w:r>
      <w:r w:rsidRPr="000951BC">
        <w:rPr>
          <w:color w:val="595959" w:themeColor="text1" w:themeTint="A6"/>
          <w:sz w:val="16"/>
          <w:szCs w:val="16"/>
        </w:rPr>
        <w:t xml:space="preserve"> </w:t>
      </w:r>
      <w:r>
        <w:rPr>
          <w:color w:val="595959" w:themeColor="text1" w:themeTint="A6"/>
          <w:sz w:val="16"/>
          <w:szCs w:val="16"/>
        </w:rPr>
        <w:t>D</w:t>
      </w:r>
      <w:r w:rsidRPr="000951BC">
        <w:rPr>
          <w:color w:val="595959" w:themeColor="text1" w:themeTint="A6"/>
          <w:sz w:val="16"/>
          <w:szCs w:val="16"/>
        </w:rPr>
        <w:t xml:space="preserve">isponible en </w:t>
      </w:r>
      <w:hyperlink r:id="rId5">
        <w:r>
          <w:rPr>
            <w:color w:val="1155CC"/>
            <w:sz w:val="16"/>
            <w:szCs w:val="16"/>
            <w:u w:val="single"/>
          </w:rPr>
          <w:t>http://200.57.3.46:443/donatarias/deroga.aspx</w:t>
        </w:r>
      </w:hyperlink>
      <w:r>
        <w:rPr>
          <w:color w:val="1155CC"/>
          <w:sz w:val="16"/>
          <w:szCs w:val="16"/>
          <w:u w:val="single"/>
        </w:rPr>
        <w:t>.</w:t>
      </w:r>
      <w:r>
        <w:rPr>
          <w:sz w:val="16"/>
          <w:szCs w:val="16"/>
        </w:rPr>
        <w:t xml:space="preserve"> </w:t>
      </w:r>
    </w:p>
  </w:footnote>
  <w:footnote w:id="14">
    <w:p w14:paraId="010897EE" w14:textId="77777777" w:rsidR="0040629A" w:rsidRDefault="0040629A">
      <w:pPr>
        <w:spacing w:line="240" w:lineRule="auto"/>
        <w:contextualSpacing w:val="0"/>
        <w:rPr>
          <w:sz w:val="16"/>
          <w:szCs w:val="16"/>
        </w:rPr>
      </w:pPr>
      <w:r>
        <w:rPr>
          <w:vertAlign w:val="superscript"/>
        </w:rPr>
        <w:footnoteRef/>
      </w:r>
      <w:r>
        <w:rPr>
          <w:color w:val="595959"/>
          <w:sz w:val="16"/>
          <w:szCs w:val="16"/>
        </w:rPr>
        <w:t xml:space="preserve"> Cruz Roja Mexicana,</w:t>
      </w:r>
      <w:r>
        <w:rPr>
          <w:sz w:val="16"/>
          <w:szCs w:val="16"/>
        </w:rPr>
        <w:t xml:space="preserve"> </w:t>
      </w:r>
      <w:hyperlink r:id="rId6">
        <w:r>
          <w:rPr>
            <w:color w:val="1155CC"/>
            <w:sz w:val="16"/>
            <w:szCs w:val="16"/>
            <w:u w:val="single"/>
          </w:rPr>
          <w:t>https://www.cruzrojamexicana.org.mx/transparencia?estado=GN</w:t>
        </w:r>
      </w:hyperlink>
      <w:r>
        <w:rPr>
          <w:color w:val="1155CC"/>
          <w:sz w:val="16"/>
          <w:szCs w:val="16"/>
          <w:u w:val="single"/>
        </w:rPr>
        <w:t>.</w:t>
      </w:r>
      <w:r>
        <w:rPr>
          <w:sz w:val="16"/>
          <w:szCs w:val="16"/>
        </w:rPr>
        <w:t xml:space="preserve"> </w:t>
      </w:r>
    </w:p>
  </w:footnote>
  <w:footnote w:id="15">
    <w:p w14:paraId="41B925E8" w14:textId="77777777" w:rsidR="0040629A" w:rsidRDefault="0040629A">
      <w:pPr>
        <w:spacing w:line="240" w:lineRule="auto"/>
        <w:contextualSpacing w:val="0"/>
        <w:jc w:val="both"/>
        <w:rPr>
          <w:sz w:val="16"/>
          <w:szCs w:val="16"/>
        </w:rPr>
      </w:pPr>
      <w:r>
        <w:rPr>
          <w:vertAlign w:val="superscript"/>
        </w:rPr>
        <w:footnoteRef/>
      </w:r>
      <w:r>
        <w:rPr>
          <w:color w:val="595959"/>
          <w:sz w:val="16"/>
          <w:szCs w:val="16"/>
        </w:rPr>
        <w:t xml:space="preserve"> Fundación Carlos Slim, </w:t>
      </w:r>
      <w:hyperlink r:id="rId7">
        <w:r>
          <w:rPr>
            <w:color w:val="1155CC"/>
            <w:sz w:val="16"/>
            <w:szCs w:val="16"/>
            <w:u w:val="single"/>
          </w:rPr>
          <w:t>http://fundacioncarlosslim.org/wp-content/uploads/decimoinformeagosto2018.pdf</w:t>
        </w:r>
      </w:hyperlink>
      <w:r>
        <w:rPr>
          <w:color w:val="1155CC"/>
          <w:sz w:val="16"/>
          <w:szCs w:val="16"/>
          <w:u w:val="single"/>
        </w:rPr>
        <w:t>.</w:t>
      </w:r>
      <w:r>
        <w:rPr>
          <w:sz w:val="16"/>
          <w:szCs w:val="16"/>
        </w:rPr>
        <w:t xml:space="preserve"> </w:t>
      </w:r>
    </w:p>
  </w:footnote>
  <w:footnote w:id="16">
    <w:p w14:paraId="76F001B5" w14:textId="77777777" w:rsidR="0040629A" w:rsidRDefault="0040629A">
      <w:pPr>
        <w:spacing w:line="240" w:lineRule="auto"/>
        <w:contextualSpacing w:val="0"/>
        <w:rPr>
          <w:sz w:val="16"/>
          <w:szCs w:val="16"/>
        </w:rPr>
      </w:pPr>
      <w:r>
        <w:rPr>
          <w:vertAlign w:val="superscript"/>
        </w:rPr>
        <w:footnoteRef/>
      </w:r>
      <w:r>
        <w:rPr>
          <w:color w:val="595959"/>
          <w:sz w:val="16"/>
          <w:szCs w:val="16"/>
        </w:rPr>
        <w:t xml:space="preserve"> Fideicomiso Fuerza México, consultado el 6 de septiembre de 2018, </w:t>
      </w:r>
      <w:hyperlink r:id="rId8">
        <w:r>
          <w:rPr>
            <w:color w:val="1155CC"/>
            <w:sz w:val="16"/>
            <w:szCs w:val="16"/>
            <w:u w:val="single"/>
          </w:rPr>
          <w:t>https://fideicomisofuerzamexico.com/</w:t>
        </w:r>
      </w:hyperlink>
      <w:r>
        <w:rPr>
          <w:sz w:val="16"/>
          <w:szCs w:val="16"/>
        </w:rPr>
        <w:t>.</w:t>
      </w:r>
    </w:p>
  </w:footnote>
  <w:footnote w:id="17">
    <w:p w14:paraId="707E6C8B" w14:textId="77777777" w:rsidR="0040629A" w:rsidRDefault="0040629A">
      <w:pPr>
        <w:spacing w:line="240" w:lineRule="auto"/>
        <w:contextualSpacing w:val="0"/>
        <w:rPr>
          <w:sz w:val="16"/>
          <w:szCs w:val="16"/>
        </w:rPr>
      </w:pPr>
      <w:r>
        <w:rPr>
          <w:vertAlign w:val="superscript"/>
        </w:rPr>
        <w:footnoteRef/>
      </w:r>
      <w:r>
        <w:rPr>
          <w:color w:val="595959"/>
          <w:sz w:val="16"/>
          <w:szCs w:val="16"/>
        </w:rPr>
        <w:t xml:space="preserve"> Fundación BBVA Bancomer, consultada al 6 de septiembre de 2018 </w:t>
      </w:r>
      <w:hyperlink r:id="rId9">
        <w:r>
          <w:rPr>
            <w:color w:val="1155CC"/>
            <w:sz w:val="16"/>
            <w:szCs w:val="16"/>
            <w:u w:val="single"/>
          </w:rPr>
          <w:t>https://portal.bancomer.com/fundacion/reconstruccion/</w:t>
        </w:r>
      </w:hyperlink>
      <w:r>
        <w:rPr>
          <w:color w:val="1155CC"/>
          <w:sz w:val="16"/>
          <w:szCs w:val="16"/>
          <w:u w:val="single"/>
        </w:rPr>
        <w:t>.</w:t>
      </w:r>
      <w:r>
        <w:rPr>
          <w:sz w:val="16"/>
          <w:szCs w:val="16"/>
        </w:rPr>
        <w:t xml:space="preserve"> </w:t>
      </w:r>
    </w:p>
  </w:footnote>
  <w:footnote w:id="18">
    <w:p w14:paraId="3D171100" w14:textId="77777777" w:rsidR="0040629A" w:rsidRDefault="0040629A">
      <w:pPr>
        <w:spacing w:line="240" w:lineRule="auto"/>
        <w:contextualSpacing w:val="0"/>
        <w:rPr>
          <w:sz w:val="16"/>
          <w:szCs w:val="16"/>
        </w:rPr>
      </w:pPr>
      <w:r>
        <w:rPr>
          <w:vertAlign w:val="superscript"/>
        </w:rPr>
        <w:footnoteRef/>
      </w:r>
      <w:r>
        <w:rPr>
          <w:color w:val="595959"/>
          <w:sz w:val="16"/>
          <w:szCs w:val="16"/>
        </w:rPr>
        <w:t xml:space="preserve"> Fomento Social Banamex, consultado el 6 de septiembre de 2018, </w:t>
      </w:r>
      <w:hyperlink r:id="rId10">
        <w:r>
          <w:rPr>
            <w:color w:val="1155CC"/>
            <w:sz w:val="16"/>
            <w:szCs w:val="16"/>
            <w:u w:val="single"/>
          </w:rPr>
          <w:t>https://www.banamex.com/compromiso-social/infraestructura_fs.html</w:t>
        </w:r>
      </w:hyperlink>
      <w:r>
        <w:rPr>
          <w:sz w:val="16"/>
          <w:szCs w:val="16"/>
        </w:rPr>
        <w:t xml:space="preserve">; </w:t>
      </w:r>
      <w:hyperlink r:id="rId11">
        <w:r>
          <w:rPr>
            <w:color w:val="1155CC"/>
            <w:sz w:val="16"/>
            <w:szCs w:val="16"/>
            <w:u w:val="single"/>
          </w:rPr>
          <w:t>https://www.banamex.com/compromiso-social/transparencia.html</w:t>
        </w:r>
      </w:hyperlink>
      <w:r>
        <w:rPr>
          <w:color w:val="1155CC"/>
          <w:sz w:val="16"/>
          <w:szCs w:val="16"/>
          <w:u w:val="single"/>
        </w:rPr>
        <w:t>.</w:t>
      </w:r>
      <w:r>
        <w:rPr>
          <w:sz w:val="16"/>
          <w:szCs w:val="16"/>
        </w:rPr>
        <w:t xml:space="preserve"> </w:t>
      </w:r>
    </w:p>
  </w:footnote>
  <w:footnote w:id="19">
    <w:p w14:paraId="38F3F442" w14:textId="77777777" w:rsidR="0040629A" w:rsidRDefault="0040629A">
      <w:pPr>
        <w:spacing w:line="240" w:lineRule="auto"/>
        <w:contextualSpacing w:val="0"/>
        <w:jc w:val="both"/>
        <w:rPr>
          <w:color w:val="595959"/>
          <w:sz w:val="16"/>
          <w:szCs w:val="16"/>
        </w:rPr>
      </w:pPr>
      <w:r>
        <w:rPr>
          <w:vertAlign w:val="superscript"/>
        </w:rPr>
        <w:footnoteRef/>
      </w:r>
      <w:r>
        <w:rPr>
          <w:color w:val="595959"/>
          <w:sz w:val="16"/>
          <w:szCs w:val="16"/>
        </w:rPr>
        <w:t xml:space="preserve"> En el </w:t>
      </w:r>
      <w:r>
        <w:rPr>
          <w:i/>
          <w:color w:val="595959"/>
          <w:sz w:val="16"/>
          <w:szCs w:val="16"/>
        </w:rPr>
        <w:t>Informe sobre transparencia y rendición de cuentas de los recursos públicos y privados para la reconstrucción a seis meses de los sismos</w:t>
      </w:r>
      <w:r>
        <w:rPr>
          <w:color w:val="595959"/>
          <w:sz w:val="16"/>
          <w:szCs w:val="16"/>
        </w:rPr>
        <w:t xml:space="preserve"> de las organizaciones de #Epicentro, se reportaron en su momento 500,000 pesos filipinos por parte del gobierno de Botsuana, debido a la información publicada en el micrositio FM-TP; sin embargo, dado que la entidad a la que iba destinado este recurso, de acuerdo con el micrositio ―el Fideicomiso Fuerza México―, no recibió esa cantidad, se eliminó de la contabilidad de los recursos obtenidos.</w:t>
      </w:r>
    </w:p>
  </w:footnote>
  <w:footnote w:id="20">
    <w:p w14:paraId="01EE57DB" w14:textId="77777777" w:rsidR="0040629A" w:rsidRPr="0015017C" w:rsidRDefault="0040629A">
      <w:pPr>
        <w:pStyle w:val="Textonotapie"/>
      </w:pPr>
      <w:r>
        <w:rPr>
          <w:rStyle w:val="Refdenotaalpie"/>
        </w:rPr>
        <w:footnoteRef/>
      </w:r>
      <w:r>
        <w:t xml:space="preserve"> </w:t>
      </w:r>
      <w:hyperlink r:id="rId12">
        <w:r w:rsidRPr="00FB1F89">
          <w:rPr>
            <w:color w:val="595959"/>
            <w:sz w:val="16"/>
            <w:u w:val="single"/>
          </w:rPr>
          <w:t>www.brigada.mx</w:t>
        </w:r>
      </w:hyperlink>
      <w:r w:rsidRPr="00FB1F89">
        <w:rPr>
          <w:color w:val="595959"/>
          <w:sz w:val="16"/>
          <w:u w:val="single"/>
        </w:rPr>
        <w:t>.</w:t>
      </w:r>
    </w:p>
  </w:footnote>
  <w:footnote w:id="21">
    <w:p w14:paraId="2FAD11CD" w14:textId="77777777" w:rsidR="0040629A" w:rsidRDefault="0040629A">
      <w:pPr>
        <w:spacing w:line="240" w:lineRule="auto"/>
        <w:contextualSpacing w:val="0"/>
        <w:jc w:val="both"/>
        <w:rPr>
          <w:sz w:val="16"/>
          <w:szCs w:val="16"/>
        </w:rPr>
      </w:pPr>
      <w:r>
        <w:rPr>
          <w:vertAlign w:val="superscript"/>
        </w:rPr>
        <w:footnoteRef/>
      </w:r>
      <w:r>
        <w:rPr>
          <w:color w:val="595959"/>
          <w:sz w:val="16"/>
          <w:szCs w:val="16"/>
        </w:rPr>
        <w:t>Instituto Belisario Domínguez (2017), A</w:t>
      </w:r>
      <w:r>
        <w:rPr>
          <w:i/>
          <w:color w:val="595959"/>
          <w:sz w:val="16"/>
          <w:szCs w:val="16"/>
        </w:rPr>
        <w:t xml:space="preserve">portaciones del sector privado y la sociedad civil de México y donaciones internacionales en apoyo a las fases de emergencia y reconstrucción tras los sismos de 2017, </w:t>
      </w:r>
      <w:hyperlink r:id="rId13">
        <w:r>
          <w:rPr>
            <w:color w:val="0000FF"/>
            <w:sz w:val="16"/>
            <w:szCs w:val="16"/>
            <w:u w:val="single"/>
          </w:rPr>
          <w:t>http://bibliodigitalibd.senado.gob.mx/handle/123456789/3778</w:t>
        </w:r>
      </w:hyperlink>
      <w:r>
        <w:rPr>
          <w:color w:val="0000FF"/>
          <w:sz w:val="16"/>
          <w:szCs w:val="16"/>
          <w:u w:val="single"/>
        </w:rPr>
        <w:t>.</w:t>
      </w:r>
    </w:p>
  </w:footnote>
  <w:footnote w:id="22">
    <w:p w14:paraId="1D90A385" w14:textId="77777777" w:rsidR="0040629A" w:rsidRDefault="0040629A">
      <w:pPr>
        <w:spacing w:line="240" w:lineRule="auto"/>
        <w:contextualSpacing w:val="0"/>
        <w:jc w:val="both"/>
        <w:rPr>
          <w:color w:val="595959"/>
          <w:sz w:val="16"/>
          <w:szCs w:val="16"/>
        </w:rPr>
      </w:pPr>
      <w:r>
        <w:rPr>
          <w:vertAlign w:val="superscript"/>
        </w:rPr>
        <w:footnoteRef/>
      </w:r>
      <w:r>
        <w:rPr>
          <w:color w:val="595959"/>
          <w:sz w:val="16"/>
          <w:szCs w:val="16"/>
        </w:rPr>
        <w:t xml:space="preserve">Centro de Investigación y Docencia Económicas (2018), </w:t>
      </w:r>
      <w:r>
        <w:rPr>
          <w:i/>
          <w:color w:val="595959"/>
          <w:sz w:val="16"/>
          <w:szCs w:val="16"/>
        </w:rPr>
        <w:t xml:space="preserve">Fondos de reconstrucción en México </w:t>
      </w:r>
      <w:r>
        <w:rPr>
          <w:color w:val="595959"/>
          <w:sz w:val="16"/>
          <w:szCs w:val="16"/>
        </w:rPr>
        <w:t>http://pirc.cide.edu/vertientes/item/111-fondos-de-reconstruccion-en-mexico.</w:t>
      </w:r>
    </w:p>
  </w:footnote>
  <w:footnote w:id="23">
    <w:p w14:paraId="50DDD8B7" w14:textId="77777777" w:rsidR="0040629A" w:rsidRDefault="0040629A">
      <w:pPr>
        <w:spacing w:line="240" w:lineRule="auto"/>
        <w:contextualSpacing w:val="0"/>
        <w:jc w:val="both"/>
        <w:rPr>
          <w:sz w:val="16"/>
          <w:szCs w:val="16"/>
        </w:rPr>
      </w:pPr>
      <w:r>
        <w:rPr>
          <w:vertAlign w:val="superscript"/>
        </w:rPr>
        <w:footnoteRef/>
      </w:r>
      <w:r>
        <w:rPr>
          <w:color w:val="595959"/>
          <w:sz w:val="16"/>
          <w:szCs w:val="16"/>
        </w:rPr>
        <w:t xml:space="preserve"> Epicentro (2018), </w:t>
      </w:r>
      <w:r>
        <w:rPr>
          <w:i/>
          <w:color w:val="595959"/>
          <w:sz w:val="16"/>
          <w:szCs w:val="16"/>
        </w:rPr>
        <w:t>Informe sobre transparencia y rendición de cuentas de los recursos públicos y privados para la reconstrucción a seis meses de los sismos</w:t>
      </w:r>
      <w:r>
        <w:rPr>
          <w:color w:val="595959"/>
          <w:sz w:val="16"/>
          <w:szCs w:val="16"/>
        </w:rPr>
        <w:t xml:space="preserve">, </w:t>
      </w:r>
      <w:hyperlink r:id="rId14">
        <w:r>
          <w:rPr>
            <w:color w:val="1155CC"/>
            <w:sz w:val="16"/>
            <w:szCs w:val="16"/>
            <w:u w:val="single"/>
          </w:rPr>
          <w:t>https://www.tm.org.mx/epicentroseismeses/</w:t>
        </w:r>
      </w:hyperlink>
      <w:r>
        <w:rPr>
          <w:color w:val="1155CC"/>
          <w:sz w:val="16"/>
          <w:szCs w:val="16"/>
          <w:u w:val="single"/>
        </w:rPr>
        <w:t>.</w:t>
      </w:r>
      <w:r>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C6DDB"/>
    <w:multiLevelType w:val="hybridMultilevel"/>
    <w:tmpl w:val="094E67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9916CC"/>
    <w:multiLevelType w:val="multilevel"/>
    <w:tmpl w:val="A1F858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106A8B"/>
    <w:multiLevelType w:val="hybridMultilevel"/>
    <w:tmpl w:val="14DA5EE0"/>
    <w:lvl w:ilvl="0" w:tplc="1C2C463E">
      <w:start w:val="57"/>
      <w:numFmt w:val="bullet"/>
      <w:lvlText w:val="-"/>
      <w:lvlJc w:val="left"/>
      <w:pPr>
        <w:ind w:left="1080" w:hanging="360"/>
      </w:pPr>
      <w:rPr>
        <w:rFonts w:ascii="Arial" w:eastAsia="Arial" w:hAnsi="Arial" w:cs="Aria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 w15:restartNumberingAfterBreak="0">
    <w:nsid w:val="77D03A8F"/>
    <w:multiLevelType w:val="multilevel"/>
    <w:tmpl w:val="675A4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34AE"/>
    <w:rsid w:val="00033C86"/>
    <w:rsid w:val="00053F77"/>
    <w:rsid w:val="0007647F"/>
    <w:rsid w:val="0008382B"/>
    <w:rsid w:val="000951BC"/>
    <w:rsid w:val="00097768"/>
    <w:rsid w:val="000B244C"/>
    <w:rsid w:val="000C266A"/>
    <w:rsid w:val="000C5576"/>
    <w:rsid w:val="000E0028"/>
    <w:rsid w:val="000E6D74"/>
    <w:rsid w:val="00130CA1"/>
    <w:rsid w:val="0015017C"/>
    <w:rsid w:val="00173194"/>
    <w:rsid w:val="00183717"/>
    <w:rsid w:val="001B3D6E"/>
    <w:rsid w:val="001C386C"/>
    <w:rsid w:val="001C7BF7"/>
    <w:rsid w:val="00254D79"/>
    <w:rsid w:val="0027718E"/>
    <w:rsid w:val="00277CB1"/>
    <w:rsid w:val="00277E56"/>
    <w:rsid w:val="0028709C"/>
    <w:rsid w:val="002E7754"/>
    <w:rsid w:val="002F5D7D"/>
    <w:rsid w:val="00311C18"/>
    <w:rsid w:val="003300FF"/>
    <w:rsid w:val="00340F48"/>
    <w:rsid w:val="003435DC"/>
    <w:rsid w:val="0035358B"/>
    <w:rsid w:val="00361F1A"/>
    <w:rsid w:val="003A3A30"/>
    <w:rsid w:val="003B3D90"/>
    <w:rsid w:val="003B7B1D"/>
    <w:rsid w:val="003C3609"/>
    <w:rsid w:val="003D2907"/>
    <w:rsid w:val="003F5B86"/>
    <w:rsid w:val="0040629A"/>
    <w:rsid w:val="0042168E"/>
    <w:rsid w:val="00437E23"/>
    <w:rsid w:val="0044643D"/>
    <w:rsid w:val="00456D96"/>
    <w:rsid w:val="004771C8"/>
    <w:rsid w:val="004B4BC6"/>
    <w:rsid w:val="004C3506"/>
    <w:rsid w:val="00587269"/>
    <w:rsid w:val="005D1802"/>
    <w:rsid w:val="005D34E9"/>
    <w:rsid w:val="0062148E"/>
    <w:rsid w:val="00651324"/>
    <w:rsid w:val="0068126E"/>
    <w:rsid w:val="00695337"/>
    <w:rsid w:val="006A2717"/>
    <w:rsid w:val="006B5FE9"/>
    <w:rsid w:val="006D727C"/>
    <w:rsid w:val="007253C2"/>
    <w:rsid w:val="00735B77"/>
    <w:rsid w:val="00754279"/>
    <w:rsid w:val="007D7025"/>
    <w:rsid w:val="007F3BA1"/>
    <w:rsid w:val="007F67F0"/>
    <w:rsid w:val="00806A08"/>
    <w:rsid w:val="008A34AE"/>
    <w:rsid w:val="008F2BC9"/>
    <w:rsid w:val="0090492E"/>
    <w:rsid w:val="00965E3B"/>
    <w:rsid w:val="009C58EB"/>
    <w:rsid w:val="00A22CC3"/>
    <w:rsid w:val="00A7615C"/>
    <w:rsid w:val="00A928F9"/>
    <w:rsid w:val="00AB471E"/>
    <w:rsid w:val="00AF7967"/>
    <w:rsid w:val="00B27458"/>
    <w:rsid w:val="00B325B1"/>
    <w:rsid w:val="00B35987"/>
    <w:rsid w:val="00B71744"/>
    <w:rsid w:val="00C070DC"/>
    <w:rsid w:val="00C0753C"/>
    <w:rsid w:val="00C36D6D"/>
    <w:rsid w:val="00C5149D"/>
    <w:rsid w:val="00C65FBA"/>
    <w:rsid w:val="00C907FB"/>
    <w:rsid w:val="00CD07AD"/>
    <w:rsid w:val="00CD4484"/>
    <w:rsid w:val="00CE2CFD"/>
    <w:rsid w:val="00D02092"/>
    <w:rsid w:val="00D062B3"/>
    <w:rsid w:val="00D1133E"/>
    <w:rsid w:val="00D250B5"/>
    <w:rsid w:val="00D34305"/>
    <w:rsid w:val="00D57CD8"/>
    <w:rsid w:val="00D7541E"/>
    <w:rsid w:val="00D8672D"/>
    <w:rsid w:val="00E20316"/>
    <w:rsid w:val="00E572B4"/>
    <w:rsid w:val="00E72F96"/>
    <w:rsid w:val="00EB780C"/>
    <w:rsid w:val="00ED16E8"/>
    <w:rsid w:val="00EF03CD"/>
    <w:rsid w:val="00F35562"/>
    <w:rsid w:val="00F80677"/>
    <w:rsid w:val="00FB1F89"/>
    <w:rsid w:val="00FB7D7F"/>
    <w:rsid w:val="00FD095D"/>
    <w:rsid w:val="00FE30B8"/>
    <w:rsid w:val="00FF66D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80751A"/>
  <w15:docId w15:val="{32699FB3-B88C-4DF7-A435-633247FB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MX"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rsid w:val="00F80677"/>
    <w:pPr>
      <w:keepNext/>
      <w:keepLines/>
      <w:spacing w:before="400" w:after="120"/>
      <w:outlineLvl w:val="0"/>
    </w:pPr>
    <w:rPr>
      <w:b/>
      <w:color w:val="404040" w:themeColor="text1" w:themeTint="BF"/>
      <w:sz w:val="28"/>
      <w:szCs w:val="40"/>
    </w:rPr>
  </w:style>
  <w:style w:type="paragraph" w:styleId="Ttulo2">
    <w:name w:val="heading 2"/>
    <w:basedOn w:val="Normal"/>
    <w:next w:val="Normal"/>
    <w:rsid w:val="00F80677"/>
    <w:pPr>
      <w:keepNext/>
      <w:keepLines/>
      <w:spacing w:before="360" w:after="120"/>
      <w:outlineLvl w:val="1"/>
    </w:pPr>
    <w:rPr>
      <w:b/>
      <w:color w:val="31849B" w:themeColor="accent5" w:themeShade="BF"/>
      <w:sz w:val="24"/>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F3556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35562"/>
  </w:style>
  <w:style w:type="paragraph" w:styleId="Piedepgina">
    <w:name w:val="footer"/>
    <w:basedOn w:val="Normal"/>
    <w:link w:val="PiedepginaCar"/>
    <w:uiPriority w:val="99"/>
    <w:unhideWhenUsed/>
    <w:rsid w:val="00F3556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35562"/>
  </w:style>
  <w:style w:type="paragraph" w:styleId="Prrafodelista">
    <w:name w:val="List Paragraph"/>
    <w:basedOn w:val="Normal"/>
    <w:uiPriority w:val="34"/>
    <w:qFormat/>
    <w:rsid w:val="000951BC"/>
    <w:pPr>
      <w:ind w:left="720"/>
    </w:pPr>
  </w:style>
  <w:style w:type="paragraph" w:styleId="TDC1">
    <w:name w:val="toc 1"/>
    <w:basedOn w:val="Normal"/>
    <w:next w:val="Normal"/>
    <w:autoRedefine/>
    <w:uiPriority w:val="39"/>
    <w:unhideWhenUsed/>
    <w:rsid w:val="00FE30B8"/>
    <w:pPr>
      <w:tabs>
        <w:tab w:val="right" w:leader="dot" w:pos="9019"/>
      </w:tabs>
      <w:spacing w:after="100" w:line="480" w:lineRule="auto"/>
    </w:pPr>
    <w:rPr>
      <w:b/>
      <w:noProof/>
      <w:color w:val="595959" w:themeColor="text1" w:themeTint="A6"/>
    </w:rPr>
  </w:style>
  <w:style w:type="paragraph" w:styleId="TDC2">
    <w:name w:val="toc 2"/>
    <w:basedOn w:val="Normal"/>
    <w:next w:val="Normal"/>
    <w:autoRedefine/>
    <w:uiPriority w:val="39"/>
    <w:unhideWhenUsed/>
    <w:rsid w:val="00FE30B8"/>
    <w:pPr>
      <w:tabs>
        <w:tab w:val="right" w:leader="dot" w:pos="9019"/>
      </w:tabs>
      <w:spacing w:after="100" w:line="480" w:lineRule="auto"/>
      <w:ind w:left="220"/>
    </w:pPr>
    <w:rPr>
      <w:noProof/>
      <w:color w:val="31849B" w:themeColor="accent5" w:themeShade="BF"/>
    </w:rPr>
  </w:style>
  <w:style w:type="character" w:styleId="Hipervnculo">
    <w:name w:val="Hyperlink"/>
    <w:basedOn w:val="Fuentedeprrafopredeter"/>
    <w:uiPriority w:val="99"/>
    <w:unhideWhenUsed/>
    <w:rsid w:val="004771C8"/>
    <w:rPr>
      <w:color w:val="0000FF" w:themeColor="hyperlink"/>
      <w:u w:val="single"/>
    </w:rPr>
  </w:style>
  <w:style w:type="paragraph" w:styleId="Textodeglobo">
    <w:name w:val="Balloon Text"/>
    <w:basedOn w:val="Normal"/>
    <w:link w:val="TextodegloboCar"/>
    <w:uiPriority w:val="99"/>
    <w:semiHidden/>
    <w:unhideWhenUsed/>
    <w:rsid w:val="00254D7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4D79"/>
    <w:rPr>
      <w:rFonts w:ascii="Segoe UI" w:hAnsi="Segoe UI" w:cs="Segoe UI"/>
      <w:sz w:val="18"/>
      <w:szCs w:val="18"/>
    </w:rPr>
  </w:style>
  <w:style w:type="paragraph" w:styleId="Textonotapie">
    <w:name w:val="footnote text"/>
    <w:basedOn w:val="Normal"/>
    <w:link w:val="TextonotapieCar"/>
    <w:uiPriority w:val="99"/>
    <w:semiHidden/>
    <w:unhideWhenUsed/>
    <w:rsid w:val="0015017C"/>
    <w:pPr>
      <w:spacing w:line="240" w:lineRule="auto"/>
    </w:pPr>
    <w:rPr>
      <w:sz w:val="20"/>
      <w:szCs w:val="20"/>
    </w:rPr>
  </w:style>
  <w:style w:type="character" w:customStyle="1" w:styleId="TextonotapieCar">
    <w:name w:val="Texto nota pie Car"/>
    <w:basedOn w:val="Fuentedeprrafopredeter"/>
    <w:link w:val="Textonotapie"/>
    <w:uiPriority w:val="99"/>
    <w:semiHidden/>
    <w:rsid w:val="0015017C"/>
    <w:rPr>
      <w:sz w:val="20"/>
      <w:szCs w:val="20"/>
    </w:rPr>
  </w:style>
  <w:style w:type="character" w:styleId="Refdenotaalpie">
    <w:name w:val="footnote reference"/>
    <w:basedOn w:val="Fuentedeprrafopredeter"/>
    <w:uiPriority w:val="99"/>
    <w:semiHidden/>
    <w:unhideWhenUsed/>
    <w:rsid w:val="0015017C"/>
    <w:rPr>
      <w:vertAlign w:val="superscript"/>
    </w:rPr>
  </w:style>
  <w:style w:type="character" w:styleId="Refdecomentario">
    <w:name w:val="annotation reference"/>
    <w:basedOn w:val="Fuentedeprrafopredeter"/>
    <w:uiPriority w:val="99"/>
    <w:semiHidden/>
    <w:unhideWhenUsed/>
    <w:rsid w:val="00277E56"/>
    <w:rPr>
      <w:sz w:val="16"/>
      <w:szCs w:val="16"/>
    </w:rPr>
  </w:style>
  <w:style w:type="paragraph" w:styleId="Textocomentario">
    <w:name w:val="annotation text"/>
    <w:basedOn w:val="Normal"/>
    <w:link w:val="TextocomentarioCar"/>
    <w:uiPriority w:val="99"/>
    <w:semiHidden/>
    <w:unhideWhenUsed/>
    <w:rsid w:val="00277E5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77E56"/>
    <w:rPr>
      <w:sz w:val="20"/>
      <w:szCs w:val="20"/>
    </w:rPr>
  </w:style>
  <w:style w:type="paragraph" w:styleId="Asuntodelcomentario">
    <w:name w:val="annotation subject"/>
    <w:basedOn w:val="Textocomentario"/>
    <w:next w:val="Textocomentario"/>
    <w:link w:val="AsuntodelcomentarioCar"/>
    <w:uiPriority w:val="99"/>
    <w:semiHidden/>
    <w:unhideWhenUsed/>
    <w:rsid w:val="00277E56"/>
    <w:rPr>
      <w:b/>
      <w:bCs/>
    </w:rPr>
  </w:style>
  <w:style w:type="character" w:customStyle="1" w:styleId="AsuntodelcomentarioCar">
    <w:name w:val="Asunto del comentario Car"/>
    <w:basedOn w:val="TextocomentarioCar"/>
    <w:link w:val="Asuntodelcomentario"/>
    <w:uiPriority w:val="99"/>
    <w:semiHidden/>
    <w:rsid w:val="00277E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463739">
      <w:bodyDiv w:val="1"/>
      <w:marLeft w:val="0"/>
      <w:marRight w:val="0"/>
      <w:marTop w:val="0"/>
      <w:marBottom w:val="0"/>
      <w:divBdr>
        <w:top w:val="none" w:sz="0" w:space="0" w:color="auto"/>
        <w:left w:val="none" w:sz="0" w:space="0" w:color="auto"/>
        <w:bottom w:val="none" w:sz="0" w:space="0" w:color="auto"/>
        <w:right w:val="none" w:sz="0" w:space="0" w:color="auto"/>
      </w:divBdr>
    </w:div>
    <w:div w:id="1908026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sedatu.gob.mx/" TargetMode="External"/><Relationship Id="rId13" Type="http://schemas.openxmlformats.org/officeDocument/2006/relationships/hyperlink" Target="http://www.transparenciapresupuestaria.gob.mx/es/PTP/fuerzamexi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nsparenciapresupuestaria.gob.mx/es/PTP/fuerzamexico" TargetMode="External"/><Relationship Id="rId5" Type="http://schemas.openxmlformats.org/officeDocument/2006/relationships/webSettings" Target="webSettings.xml"/><Relationship Id="rId15" Type="http://schemas.openxmlformats.org/officeDocument/2006/relationships/hyperlink" Target="http://200.57.3.46:443/donatarias/deroga.aspx"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ransparenciapresupuestaria.gob.mx/es/PTP/fuerzamexico"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fideicomisofuerzamexico.com/" TargetMode="External"/><Relationship Id="rId13" Type="http://schemas.openxmlformats.org/officeDocument/2006/relationships/hyperlink" Target="http://bibliodigitalibd.senado.gob.mx/handle/123456789/3778" TargetMode="External"/><Relationship Id="rId3" Type="http://schemas.openxmlformats.org/officeDocument/2006/relationships/hyperlink" Target="https://centralelectoral.ine.mx/2018/07/19/la-sancion-del-ine-al-fideicomiso-de-morena-articulo-de-ciro-murayama-publicado-en-milenio/Acceso%2006/09/2018" TargetMode="External"/><Relationship Id="rId7" Type="http://schemas.openxmlformats.org/officeDocument/2006/relationships/hyperlink" Target="http://fundacioncarlosslim.org/wp-content/uploads/decimoinformeagosto2018.pdf" TargetMode="External"/><Relationship Id="rId12" Type="http://schemas.openxmlformats.org/officeDocument/2006/relationships/hyperlink" Target="http://www.brigada.mx" TargetMode="External"/><Relationship Id="rId2" Type="http://schemas.openxmlformats.org/officeDocument/2006/relationships/hyperlink" Target="https://www.asf.gob.mx/Trans/Informes/IR2016b/Documentos/Auditorias/2016_0037_a.pdf" TargetMode="External"/><Relationship Id="rId1" Type="http://schemas.openxmlformats.org/officeDocument/2006/relationships/hyperlink" Target="http://200.57.3.46:443/donatarias/deroga.aspx" TargetMode="External"/><Relationship Id="rId6" Type="http://schemas.openxmlformats.org/officeDocument/2006/relationships/hyperlink" Target="https://www.cruzrojamexicana.org.mx/transparencia?estado=GN" TargetMode="External"/><Relationship Id="rId11" Type="http://schemas.openxmlformats.org/officeDocument/2006/relationships/hyperlink" Target="https://www.banamex.com/compromiso-social/transparencia.html" TargetMode="External"/><Relationship Id="rId5" Type="http://schemas.openxmlformats.org/officeDocument/2006/relationships/hyperlink" Target="http://200.57.3.46:443/donatarias/deroga.aspx" TargetMode="External"/><Relationship Id="rId10" Type="http://schemas.openxmlformats.org/officeDocument/2006/relationships/hyperlink" Target="https://www.banamex.com/compromiso-social/infraestructura_fs.html" TargetMode="External"/><Relationship Id="rId4" Type="http://schemas.openxmlformats.org/officeDocument/2006/relationships/hyperlink" Target="http://www.te.gob.mx/EE/SUP/2018/RAP/209/SUP_2018_RAP_209-805779.pdf" TargetMode="External"/><Relationship Id="rId9" Type="http://schemas.openxmlformats.org/officeDocument/2006/relationships/hyperlink" Target="https://portal.bancomer.com/fundacion/reconstruccion/" TargetMode="External"/><Relationship Id="rId14" Type="http://schemas.openxmlformats.org/officeDocument/2006/relationships/hyperlink" Target="https://www.tm.org.mx/epicentroseisme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843AE-08E9-47B8-A00E-319C9CC1A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28</Pages>
  <Words>9776</Words>
  <Characters>53774</Characters>
  <Application>Microsoft Office Word</Application>
  <DocSecurity>0</DocSecurity>
  <Lines>448</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dc:creator>
  <cp:lastModifiedBy>Eduardo Alcalá</cp:lastModifiedBy>
  <cp:revision>25</cp:revision>
  <dcterms:created xsi:type="dcterms:W3CDTF">2018-09-12T21:44:00Z</dcterms:created>
  <dcterms:modified xsi:type="dcterms:W3CDTF">2018-09-13T16:50:00Z</dcterms:modified>
</cp:coreProperties>
</file>