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6520E" w14:textId="77777777" w:rsidR="007C3DA1" w:rsidRPr="007C3DA1" w:rsidRDefault="007C3DA1" w:rsidP="007C3DA1">
      <w:pPr>
        <w:spacing w:after="0"/>
        <w:jc w:val="center"/>
        <w:rPr>
          <w:rFonts w:ascii="Helvetica" w:hAnsi="Helvetica"/>
          <w:b/>
          <w:sz w:val="32"/>
        </w:rPr>
      </w:pPr>
      <w:r w:rsidRPr="007C3DA1">
        <w:rPr>
          <w:rFonts w:ascii="Helvetica" w:hAnsi="Helvetica"/>
          <w:b/>
          <w:sz w:val="32"/>
        </w:rPr>
        <w:t>COMUNICADO DE PRENSA</w:t>
      </w:r>
    </w:p>
    <w:p w14:paraId="6EF6DE6A" w14:textId="77777777" w:rsidR="007C3DA1" w:rsidRPr="007C3DA1" w:rsidRDefault="007C3DA1" w:rsidP="007C3DA1">
      <w:pPr>
        <w:spacing w:after="0"/>
        <w:jc w:val="center"/>
        <w:rPr>
          <w:rFonts w:ascii="Helvetica" w:hAnsi="Helvetica"/>
          <w:sz w:val="28"/>
        </w:rPr>
      </w:pPr>
      <w:r w:rsidRPr="007C3DA1">
        <w:rPr>
          <w:rFonts w:ascii="Helvetica" w:hAnsi="Helvetica"/>
          <w:sz w:val="28"/>
        </w:rPr>
        <w:t>Informe 2012 sobre avances conseguidos por los países en la implementación de la Convención de la OCDE contra el Soborno</w:t>
      </w:r>
    </w:p>
    <w:p w14:paraId="0FBF881D" w14:textId="77777777" w:rsidR="007C3DA1" w:rsidRPr="007C3DA1" w:rsidRDefault="007C3DA1" w:rsidP="007C3DA1">
      <w:pPr>
        <w:spacing w:after="0"/>
        <w:jc w:val="both"/>
        <w:rPr>
          <w:rFonts w:ascii="Helvetica" w:hAnsi="Helvetica"/>
        </w:rPr>
      </w:pPr>
      <w:r w:rsidRPr="007C3DA1">
        <w:rPr>
          <w:rFonts w:ascii="Helvetica" w:hAnsi="Helvetica"/>
        </w:rPr>
        <w:t xml:space="preserve"> </w:t>
      </w:r>
    </w:p>
    <w:p w14:paraId="41D580E6" w14:textId="77777777" w:rsidR="007C3DA1" w:rsidRPr="007C3DA1" w:rsidRDefault="007C3DA1" w:rsidP="007C3DA1">
      <w:pPr>
        <w:spacing w:after="0"/>
        <w:jc w:val="right"/>
        <w:rPr>
          <w:rFonts w:ascii="Helvetica" w:hAnsi="Helvetica"/>
          <w:sz w:val="24"/>
        </w:rPr>
      </w:pPr>
      <w:r w:rsidRPr="007C3DA1">
        <w:rPr>
          <w:rFonts w:ascii="Helvetica" w:hAnsi="Helvetica"/>
          <w:sz w:val="24"/>
        </w:rPr>
        <w:t xml:space="preserve">6 de septiembre de 2012 </w:t>
      </w:r>
    </w:p>
    <w:p w14:paraId="36BED285" w14:textId="77777777" w:rsidR="007C3DA1" w:rsidRDefault="007C3DA1" w:rsidP="007C3DA1">
      <w:pPr>
        <w:spacing w:after="0"/>
        <w:jc w:val="both"/>
        <w:rPr>
          <w:rFonts w:ascii="Helvetica" w:hAnsi="Helvetica"/>
        </w:rPr>
      </w:pPr>
    </w:p>
    <w:p w14:paraId="519EFF6C" w14:textId="77777777" w:rsidR="007C3DA1" w:rsidRPr="00B33492" w:rsidRDefault="007C3DA1" w:rsidP="007C3DA1">
      <w:pPr>
        <w:pStyle w:val="Prrafodelista"/>
        <w:numPr>
          <w:ilvl w:val="0"/>
          <w:numId w:val="1"/>
        </w:numPr>
        <w:spacing w:after="0"/>
        <w:jc w:val="both"/>
        <w:rPr>
          <w:rFonts w:ascii="Helvetica" w:hAnsi="Helvetica"/>
          <w:sz w:val="24"/>
        </w:rPr>
      </w:pPr>
      <w:r w:rsidRPr="00B33492">
        <w:rPr>
          <w:rFonts w:ascii="Helvetica" w:hAnsi="Helvetica"/>
          <w:sz w:val="24"/>
        </w:rPr>
        <w:t>Con 144 nuevos casos iniciados en 2011, la cantidad total de casos procesados en 37 de los principales países exportadores del mundo, aumentó de 564, a finales de 2010, a 708 al término del año 2011, con un adicional de 286 investigaciones en curso.</w:t>
      </w:r>
    </w:p>
    <w:p w14:paraId="5BB9BA88" w14:textId="77777777" w:rsidR="007C3DA1" w:rsidRPr="00B33492" w:rsidRDefault="007C3DA1" w:rsidP="007C3DA1">
      <w:pPr>
        <w:pStyle w:val="Prrafodelista"/>
        <w:numPr>
          <w:ilvl w:val="0"/>
          <w:numId w:val="1"/>
        </w:numPr>
        <w:spacing w:after="0"/>
        <w:jc w:val="both"/>
        <w:rPr>
          <w:rFonts w:ascii="Helvetica" w:hAnsi="Helvetica"/>
          <w:sz w:val="24"/>
        </w:rPr>
      </w:pPr>
      <w:r w:rsidRPr="00B33492">
        <w:rPr>
          <w:rFonts w:ascii="Helvetica" w:hAnsi="Helvetica"/>
          <w:sz w:val="24"/>
        </w:rPr>
        <w:t>México fue clasificado bajo la categoría de 'implementación limitada', dado que sólo dos investigaciones están en curso.</w:t>
      </w:r>
    </w:p>
    <w:p w14:paraId="7F35ED9C" w14:textId="137CFFD5" w:rsidR="007C3DA1" w:rsidRPr="00B33492" w:rsidRDefault="007C3DA1" w:rsidP="00B33492">
      <w:pPr>
        <w:pStyle w:val="Prrafodelista"/>
        <w:numPr>
          <w:ilvl w:val="0"/>
          <w:numId w:val="1"/>
        </w:numPr>
        <w:spacing w:after="0"/>
        <w:jc w:val="both"/>
        <w:rPr>
          <w:rFonts w:ascii="Helvetica" w:hAnsi="Helvetica"/>
          <w:sz w:val="24"/>
        </w:rPr>
      </w:pPr>
      <w:r w:rsidRPr="00B33492">
        <w:rPr>
          <w:rFonts w:ascii="Helvetica" w:hAnsi="Helvetica"/>
          <w:sz w:val="24"/>
        </w:rPr>
        <w:t>Desde su ratificación, en 1999, a la fecha, México sólo ha sancionado un caso bajo esta Convención, según reportes oficiales.</w:t>
      </w:r>
    </w:p>
    <w:p w14:paraId="52E983B0" w14:textId="77777777" w:rsidR="007C3DA1" w:rsidRPr="007C3DA1" w:rsidRDefault="007C3DA1" w:rsidP="007C3DA1">
      <w:pPr>
        <w:spacing w:after="0"/>
        <w:jc w:val="both"/>
        <w:rPr>
          <w:rFonts w:ascii="Helvetica" w:hAnsi="Helvetica"/>
          <w:sz w:val="24"/>
        </w:rPr>
      </w:pPr>
    </w:p>
    <w:p w14:paraId="636DE741" w14:textId="77777777" w:rsidR="007C3DA1" w:rsidRPr="007C3DA1" w:rsidRDefault="007C3DA1" w:rsidP="007C3DA1">
      <w:pPr>
        <w:spacing w:after="0"/>
        <w:jc w:val="both"/>
        <w:rPr>
          <w:rFonts w:ascii="Helvetica" w:hAnsi="Helvetica"/>
          <w:sz w:val="24"/>
        </w:rPr>
      </w:pPr>
      <w:r w:rsidRPr="007C3DA1">
        <w:rPr>
          <w:rFonts w:ascii="Helvetica" w:hAnsi="Helvetica"/>
          <w:sz w:val="24"/>
        </w:rPr>
        <w:t xml:space="preserve">Transparencia Internacional presentó el documento "¿Exportar la corrupción? Informe 2012 sobre avances conseguidos por los países en la implementación de la Convención de la OCDE contra el Soborno" que muestra que cada vez más procesos por soborno se resuelven con multas y acciones penales, además del desprestigio que estas causas suponen para las empresas. Con 144 nuevos casos iniciados en 2011, la cantidad total de casos procesados en 37 de los principales países exportadores aumentó de 564, a finales de 2010, a 708 al término del año 2011, con un adicional de 286 investigaciones en curso. </w:t>
      </w:r>
    </w:p>
    <w:p w14:paraId="0A4D8D2C" w14:textId="77777777" w:rsidR="007C3DA1" w:rsidRPr="007C3DA1" w:rsidRDefault="007C3DA1" w:rsidP="007C3DA1">
      <w:pPr>
        <w:spacing w:after="0"/>
        <w:jc w:val="both"/>
        <w:rPr>
          <w:rFonts w:ascii="Helvetica" w:hAnsi="Helvetica"/>
          <w:sz w:val="24"/>
        </w:rPr>
      </w:pPr>
      <w:r w:rsidRPr="007C3DA1">
        <w:rPr>
          <w:rFonts w:ascii="Helvetica" w:hAnsi="Helvetica"/>
          <w:sz w:val="24"/>
        </w:rPr>
        <w:t xml:space="preserve"> </w:t>
      </w:r>
    </w:p>
    <w:p w14:paraId="5C2D7B51" w14:textId="77777777" w:rsidR="007C3DA1" w:rsidRDefault="007C3DA1" w:rsidP="007C3DA1">
      <w:pPr>
        <w:spacing w:after="0"/>
        <w:jc w:val="both"/>
        <w:rPr>
          <w:rFonts w:ascii="Helvetica" w:hAnsi="Helvetica"/>
          <w:sz w:val="24"/>
        </w:rPr>
      </w:pPr>
      <w:r w:rsidRPr="007C3DA1">
        <w:rPr>
          <w:rFonts w:ascii="Helvetica" w:hAnsi="Helvetica"/>
          <w:sz w:val="24"/>
        </w:rPr>
        <w:t>El informe advierte que más gobiernos deberían adoptar medidas para disuadir a las empresas de cometer estos delitos y fomentar la transparencia en los negocios. En 18 países aún no se han iniciado acciones penales por casos importantes de corrupción transnacional en los que han estado involucradas empresas, mientras que en tan solo 7 de 37 países existe una implementación activa de las leyes sobre soborno. Los gobiernos no deberían ceder ante las estrategias de cabildeo que procuran debilitar las leyes contra el soborno.</w:t>
      </w:r>
    </w:p>
    <w:p w14:paraId="57E0C451" w14:textId="77777777" w:rsidR="00B33492" w:rsidRDefault="00B33492" w:rsidP="007C3DA1">
      <w:pPr>
        <w:spacing w:after="0"/>
        <w:jc w:val="both"/>
        <w:rPr>
          <w:rFonts w:ascii="Helvetica" w:hAnsi="Helvetica"/>
          <w:sz w:val="24"/>
        </w:rPr>
      </w:pPr>
    </w:p>
    <w:p w14:paraId="64D834DC" w14:textId="77777777" w:rsidR="00B33492" w:rsidRDefault="00B33492" w:rsidP="007C3DA1">
      <w:pPr>
        <w:spacing w:after="0"/>
        <w:jc w:val="both"/>
        <w:rPr>
          <w:rFonts w:ascii="Helvetica" w:hAnsi="Helvetica"/>
          <w:sz w:val="24"/>
        </w:rPr>
      </w:pPr>
    </w:p>
    <w:p w14:paraId="5570C92B" w14:textId="77777777" w:rsidR="00B33492" w:rsidRDefault="00B33492" w:rsidP="007C3DA1">
      <w:pPr>
        <w:spacing w:after="0"/>
        <w:jc w:val="both"/>
        <w:rPr>
          <w:rFonts w:ascii="Helvetica" w:hAnsi="Helvetica"/>
          <w:sz w:val="24"/>
        </w:rPr>
      </w:pPr>
    </w:p>
    <w:p w14:paraId="62E24A04" w14:textId="77777777" w:rsidR="00B33492" w:rsidRPr="007C3DA1" w:rsidRDefault="00B33492" w:rsidP="007C3DA1">
      <w:pPr>
        <w:spacing w:after="0"/>
        <w:jc w:val="both"/>
        <w:rPr>
          <w:rFonts w:ascii="Helvetica" w:hAnsi="Helvetica"/>
          <w:sz w:val="24"/>
        </w:rPr>
      </w:pPr>
    </w:p>
    <w:p w14:paraId="1E3E5BAA" w14:textId="77777777" w:rsidR="007C3DA1" w:rsidRPr="00B33492" w:rsidRDefault="007C3DA1" w:rsidP="007C3DA1">
      <w:pPr>
        <w:spacing w:after="0"/>
        <w:jc w:val="both"/>
        <w:rPr>
          <w:rFonts w:ascii="Helvetica" w:hAnsi="Helvetica"/>
          <w:b/>
          <w:sz w:val="24"/>
        </w:rPr>
      </w:pPr>
      <w:r w:rsidRPr="00B33492">
        <w:rPr>
          <w:rFonts w:ascii="Helvetica" w:hAnsi="Helvetica"/>
          <w:b/>
          <w:sz w:val="24"/>
        </w:rPr>
        <w:lastRenderedPageBreak/>
        <w:t>Las causas judiciales son un factor de disuasión necesario para que las empresas no recurran al soborno</w:t>
      </w:r>
    </w:p>
    <w:p w14:paraId="594F44ED" w14:textId="77777777" w:rsidR="007C3DA1" w:rsidRPr="007C3DA1" w:rsidRDefault="007C3DA1" w:rsidP="007C3DA1">
      <w:pPr>
        <w:spacing w:after="0"/>
        <w:jc w:val="both"/>
        <w:rPr>
          <w:rFonts w:ascii="Helvetica" w:hAnsi="Helvetica"/>
          <w:sz w:val="24"/>
        </w:rPr>
      </w:pPr>
      <w:r w:rsidRPr="007C3DA1">
        <w:rPr>
          <w:rFonts w:ascii="Helvetica" w:hAnsi="Helvetica"/>
          <w:sz w:val="24"/>
        </w:rPr>
        <w:t xml:space="preserve"> </w:t>
      </w:r>
    </w:p>
    <w:p w14:paraId="51140C77" w14:textId="77777777" w:rsidR="007C3DA1" w:rsidRPr="007C3DA1" w:rsidRDefault="007C3DA1" w:rsidP="007C3DA1">
      <w:pPr>
        <w:spacing w:after="0"/>
        <w:jc w:val="both"/>
        <w:rPr>
          <w:rFonts w:ascii="Helvetica" w:hAnsi="Helvetica"/>
          <w:sz w:val="24"/>
        </w:rPr>
      </w:pPr>
      <w:r w:rsidRPr="007C3DA1">
        <w:rPr>
          <w:rFonts w:ascii="Helvetica" w:hAnsi="Helvetica"/>
          <w:sz w:val="24"/>
        </w:rPr>
        <w:t>Según la OCDE, hasta fines de 2011 más de 250 personas y casi 100 empresas recibieron sanciones en el marco de causas por soborno iniciadas en países que son parte en la Convención de la OCDE. En estos países, 66 personas han recibido penas de prisión por haber sobornado a funcionarios en el extranjero durante operaciones comerciales.</w:t>
      </w:r>
    </w:p>
    <w:p w14:paraId="092F1F4E" w14:textId="77777777" w:rsidR="007C3DA1" w:rsidRPr="007C3DA1" w:rsidRDefault="007C3DA1" w:rsidP="007C3DA1">
      <w:pPr>
        <w:spacing w:after="0"/>
        <w:jc w:val="both"/>
        <w:rPr>
          <w:rFonts w:ascii="Helvetica" w:hAnsi="Helvetica"/>
          <w:sz w:val="24"/>
        </w:rPr>
      </w:pPr>
      <w:r w:rsidRPr="007C3DA1">
        <w:rPr>
          <w:rFonts w:ascii="Helvetica" w:hAnsi="Helvetica"/>
          <w:sz w:val="24"/>
        </w:rPr>
        <w:t xml:space="preserve"> </w:t>
      </w:r>
    </w:p>
    <w:p w14:paraId="6FD0A04A" w14:textId="77777777" w:rsidR="007C3DA1" w:rsidRPr="007C3DA1" w:rsidRDefault="007C3DA1" w:rsidP="007C3DA1">
      <w:pPr>
        <w:spacing w:after="0"/>
        <w:jc w:val="both"/>
        <w:rPr>
          <w:rFonts w:ascii="Helvetica" w:hAnsi="Helvetica"/>
          <w:sz w:val="24"/>
        </w:rPr>
      </w:pPr>
      <w:r w:rsidRPr="007C3DA1">
        <w:rPr>
          <w:rFonts w:ascii="Helvetica" w:hAnsi="Helvetica"/>
          <w:sz w:val="24"/>
        </w:rPr>
        <w:t>Mientras en México su implementación ha sido limitada, en Estados Unidos, principal socio comercial del país, se observa el nivel más alto de implementación, con 275 causas concluidas hasta fines de 2011. Al igual que Estados Unidos, Alemania ha completado más de 100 casos.</w:t>
      </w:r>
    </w:p>
    <w:p w14:paraId="31A2367D" w14:textId="77777777" w:rsidR="007C3DA1" w:rsidRPr="007C3DA1" w:rsidRDefault="007C3DA1" w:rsidP="007C3DA1">
      <w:pPr>
        <w:spacing w:after="0"/>
        <w:jc w:val="both"/>
        <w:rPr>
          <w:rFonts w:ascii="Helvetica" w:hAnsi="Helvetica"/>
          <w:sz w:val="24"/>
        </w:rPr>
      </w:pPr>
      <w:r w:rsidRPr="007C3DA1">
        <w:rPr>
          <w:rFonts w:ascii="Helvetica" w:hAnsi="Helvetica"/>
          <w:sz w:val="24"/>
        </w:rPr>
        <w:t xml:space="preserve"> </w:t>
      </w:r>
    </w:p>
    <w:p w14:paraId="371119C6" w14:textId="77777777" w:rsidR="007C3DA1" w:rsidRPr="007C3DA1" w:rsidRDefault="007C3DA1" w:rsidP="007C3DA1">
      <w:pPr>
        <w:spacing w:after="0"/>
        <w:jc w:val="both"/>
        <w:rPr>
          <w:rFonts w:ascii="Helvetica" w:hAnsi="Helvetica"/>
          <w:sz w:val="24"/>
        </w:rPr>
      </w:pPr>
      <w:r w:rsidRPr="007C3DA1">
        <w:rPr>
          <w:rFonts w:ascii="Helvetica" w:hAnsi="Helvetica"/>
          <w:sz w:val="24"/>
        </w:rPr>
        <w:t>"Es fundamental evitar que, debido a las condiciones de la crisis económica, los gobiernos se vean tentados a frenar la implementación, y que las empresas procuren conseguir una ventaja ilegítima en los mercados globales", aseveró Huguette Labelle, presidenta de Transparencia Internacional.</w:t>
      </w:r>
    </w:p>
    <w:p w14:paraId="26169BE5" w14:textId="77777777" w:rsidR="007C3DA1" w:rsidRPr="007C3DA1" w:rsidRDefault="007C3DA1" w:rsidP="007C3DA1">
      <w:pPr>
        <w:spacing w:after="0"/>
        <w:jc w:val="both"/>
        <w:rPr>
          <w:rFonts w:ascii="Helvetica" w:hAnsi="Helvetica"/>
          <w:sz w:val="24"/>
        </w:rPr>
      </w:pPr>
      <w:r w:rsidRPr="007C3DA1">
        <w:rPr>
          <w:rFonts w:ascii="Helvetica" w:hAnsi="Helvetica"/>
          <w:sz w:val="24"/>
        </w:rPr>
        <w:t xml:space="preserve"> </w:t>
      </w:r>
      <w:bookmarkStart w:id="0" w:name="_GoBack"/>
      <w:bookmarkEnd w:id="0"/>
    </w:p>
    <w:p w14:paraId="4C67674C" w14:textId="77777777" w:rsidR="007C3DA1" w:rsidRPr="00B33492" w:rsidRDefault="007C3DA1" w:rsidP="007C3DA1">
      <w:pPr>
        <w:spacing w:after="0"/>
        <w:jc w:val="both"/>
        <w:rPr>
          <w:rFonts w:ascii="Helvetica" w:hAnsi="Helvetica"/>
          <w:b/>
          <w:sz w:val="24"/>
        </w:rPr>
      </w:pPr>
      <w:r w:rsidRPr="00B33492">
        <w:rPr>
          <w:rFonts w:ascii="Helvetica" w:hAnsi="Helvetica"/>
          <w:b/>
          <w:sz w:val="24"/>
        </w:rPr>
        <w:t>Enfoque para México:</w:t>
      </w:r>
    </w:p>
    <w:p w14:paraId="35F2B6E9" w14:textId="77777777" w:rsidR="00B33492" w:rsidRPr="007C3DA1" w:rsidRDefault="00B33492" w:rsidP="007C3DA1">
      <w:pPr>
        <w:spacing w:after="0"/>
        <w:jc w:val="both"/>
        <w:rPr>
          <w:rFonts w:ascii="Helvetica" w:hAnsi="Helvetica"/>
          <w:sz w:val="24"/>
        </w:rPr>
      </w:pPr>
    </w:p>
    <w:p w14:paraId="3B5FDC7D" w14:textId="77777777" w:rsidR="007C3DA1" w:rsidRDefault="007C3DA1" w:rsidP="007C3DA1">
      <w:pPr>
        <w:spacing w:after="0"/>
        <w:jc w:val="both"/>
        <w:rPr>
          <w:rFonts w:ascii="Helvetica" w:hAnsi="Helvetica"/>
          <w:sz w:val="24"/>
        </w:rPr>
      </w:pPr>
      <w:r w:rsidRPr="007C3DA1">
        <w:rPr>
          <w:rFonts w:ascii="Helvetica" w:hAnsi="Helvetica"/>
          <w:sz w:val="24"/>
        </w:rPr>
        <w:t>México ha sido clasificado dentro de la categoría, implementación limitada, junto con otros 9 países: Brasil, Bulgaria, Chile, Eslovaquia, Eslovenia, Hungría, Luxemburgo, Portugal y Turquía. Los cuales en conjunto representan el 6% de las exportaciones mundiales.</w:t>
      </w:r>
    </w:p>
    <w:p w14:paraId="679A8B10" w14:textId="77777777" w:rsidR="00B33492" w:rsidRPr="007C3DA1" w:rsidRDefault="00B33492" w:rsidP="007C3DA1">
      <w:pPr>
        <w:spacing w:after="0"/>
        <w:jc w:val="both"/>
        <w:rPr>
          <w:rFonts w:ascii="Helvetica" w:hAnsi="Helvetica"/>
          <w:sz w:val="24"/>
        </w:rPr>
      </w:pPr>
    </w:p>
    <w:p w14:paraId="2ED5D4FB" w14:textId="77777777" w:rsidR="007C3DA1" w:rsidRDefault="007C3DA1" w:rsidP="007C3DA1">
      <w:pPr>
        <w:spacing w:after="0"/>
        <w:jc w:val="both"/>
        <w:rPr>
          <w:rFonts w:ascii="Helvetica" w:hAnsi="Helvetica"/>
          <w:sz w:val="24"/>
        </w:rPr>
      </w:pPr>
      <w:r w:rsidRPr="007C3DA1">
        <w:rPr>
          <w:rFonts w:ascii="Helvetica" w:hAnsi="Helvetica"/>
          <w:sz w:val="24"/>
        </w:rPr>
        <w:t>Solamente existen 2 investigaciones en curso, que fueron iniciadas en 2004 y 2005 respectivamente, ambas por aviso de autoridades extranjeras.</w:t>
      </w:r>
    </w:p>
    <w:p w14:paraId="5C5877CD" w14:textId="77777777" w:rsidR="00B33492" w:rsidRPr="007C3DA1" w:rsidRDefault="00B33492" w:rsidP="007C3DA1">
      <w:pPr>
        <w:spacing w:after="0"/>
        <w:jc w:val="both"/>
        <w:rPr>
          <w:rFonts w:ascii="Helvetica" w:hAnsi="Helvetica"/>
          <w:sz w:val="24"/>
        </w:rPr>
      </w:pPr>
    </w:p>
    <w:p w14:paraId="48F8CC6A" w14:textId="77777777" w:rsidR="007C3DA1" w:rsidRDefault="007C3DA1" w:rsidP="007C3DA1">
      <w:pPr>
        <w:spacing w:after="0"/>
        <w:jc w:val="both"/>
        <w:rPr>
          <w:rFonts w:ascii="Helvetica" w:hAnsi="Helvetica"/>
          <w:sz w:val="24"/>
        </w:rPr>
      </w:pPr>
      <w:r w:rsidRPr="007C3DA1">
        <w:rPr>
          <w:rFonts w:ascii="Helvetica" w:hAnsi="Helvetica"/>
          <w:sz w:val="24"/>
        </w:rPr>
        <w:t xml:space="preserve">Como mecanismo central para avanzar en el cumplimiento de esta Convención y otros instrumentos anticorrupción, México deberá incluir la responsabilidad penal de las empresas, tanto para las mexicanas que operan al interior y al exterior del país, como a las extranjeras operando en territorio nacional. </w:t>
      </w:r>
    </w:p>
    <w:p w14:paraId="0BC6C94A" w14:textId="77777777" w:rsidR="00B33492" w:rsidRPr="007C3DA1" w:rsidRDefault="00B33492" w:rsidP="007C3DA1">
      <w:pPr>
        <w:spacing w:after="0"/>
        <w:jc w:val="both"/>
        <w:rPr>
          <w:rFonts w:ascii="Helvetica" w:hAnsi="Helvetica"/>
          <w:sz w:val="24"/>
        </w:rPr>
      </w:pPr>
    </w:p>
    <w:p w14:paraId="6424D9FF" w14:textId="77777777" w:rsidR="007C3DA1" w:rsidRDefault="007C3DA1" w:rsidP="007C3DA1">
      <w:pPr>
        <w:spacing w:after="0"/>
        <w:jc w:val="both"/>
        <w:rPr>
          <w:rFonts w:ascii="Helvetica" w:hAnsi="Helvetica"/>
          <w:sz w:val="24"/>
        </w:rPr>
      </w:pPr>
      <w:r w:rsidRPr="007C3DA1">
        <w:rPr>
          <w:rFonts w:ascii="Helvetica" w:hAnsi="Helvetica"/>
          <w:sz w:val="24"/>
        </w:rPr>
        <w:lastRenderedPageBreak/>
        <w:t xml:space="preserve">México deberá atender con mayor prioridad y velocidad las investigaciones y casos de soborno internacional, así como asegurar una mayor coordinación entre los tres distintos niveles de gobierno.  </w:t>
      </w:r>
    </w:p>
    <w:p w14:paraId="74CBFBBA" w14:textId="77777777" w:rsidR="00B33492" w:rsidRPr="007C3DA1" w:rsidRDefault="00B33492" w:rsidP="007C3DA1">
      <w:pPr>
        <w:spacing w:after="0"/>
        <w:jc w:val="both"/>
        <w:rPr>
          <w:rFonts w:ascii="Helvetica" w:hAnsi="Helvetica"/>
          <w:sz w:val="24"/>
        </w:rPr>
      </w:pPr>
    </w:p>
    <w:p w14:paraId="50850495" w14:textId="77777777" w:rsidR="007C3DA1" w:rsidRPr="007C3DA1" w:rsidRDefault="007C3DA1" w:rsidP="007C3DA1">
      <w:pPr>
        <w:spacing w:after="0"/>
        <w:jc w:val="both"/>
        <w:rPr>
          <w:rFonts w:ascii="Helvetica" w:hAnsi="Helvetica"/>
          <w:sz w:val="24"/>
        </w:rPr>
      </w:pPr>
      <w:r w:rsidRPr="007C3DA1">
        <w:rPr>
          <w:rFonts w:ascii="Helvetica" w:hAnsi="Helvetica"/>
          <w:sz w:val="24"/>
        </w:rPr>
        <w:t>- Accede al reporte completo aquí (en inglés).</w:t>
      </w:r>
    </w:p>
    <w:p w14:paraId="1A0DA544" w14:textId="77777777" w:rsidR="007C3DA1" w:rsidRDefault="007C3DA1" w:rsidP="007C3DA1">
      <w:pPr>
        <w:spacing w:after="0"/>
        <w:jc w:val="both"/>
        <w:rPr>
          <w:rFonts w:ascii="Helvetica" w:hAnsi="Helvetica"/>
          <w:sz w:val="24"/>
        </w:rPr>
      </w:pPr>
      <w:r w:rsidRPr="007C3DA1">
        <w:rPr>
          <w:rFonts w:ascii="Helvetica" w:hAnsi="Helvetica"/>
          <w:sz w:val="24"/>
        </w:rPr>
        <w:t>- Accede al resumen ejecutivo en español aquí.</w:t>
      </w:r>
    </w:p>
    <w:p w14:paraId="1889F314" w14:textId="77777777" w:rsidR="00B33492" w:rsidRPr="007C3DA1" w:rsidRDefault="00B33492" w:rsidP="007C3DA1">
      <w:pPr>
        <w:spacing w:after="0"/>
        <w:jc w:val="both"/>
        <w:rPr>
          <w:rFonts w:ascii="Helvetica" w:hAnsi="Helvetica"/>
          <w:sz w:val="24"/>
        </w:rPr>
      </w:pPr>
    </w:p>
    <w:p w14:paraId="7F3F03C7" w14:textId="77777777" w:rsidR="007C3DA1" w:rsidRPr="00B33492" w:rsidRDefault="007C3DA1" w:rsidP="007C3DA1">
      <w:pPr>
        <w:spacing w:after="0"/>
        <w:jc w:val="both"/>
        <w:rPr>
          <w:rFonts w:ascii="Helvetica" w:hAnsi="Helvetica"/>
          <w:b/>
          <w:sz w:val="24"/>
        </w:rPr>
      </w:pPr>
      <w:r w:rsidRPr="00B33492">
        <w:rPr>
          <w:rFonts w:ascii="Helvetica" w:hAnsi="Helvetica"/>
          <w:b/>
          <w:sz w:val="24"/>
        </w:rPr>
        <w:t>Acerca de la Convención de la OCDE Anti-Soborno</w:t>
      </w:r>
    </w:p>
    <w:p w14:paraId="2F80EE5E" w14:textId="77777777" w:rsidR="007C3DA1" w:rsidRPr="007C3DA1" w:rsidRDefault="007C3DA1" w:rsidP="007C3DA1">
      <w:pPr>
        <w:spacing w:after="0"/>
        <w:jc w:val="both"/>
        <w:rPr>
          <w:rFonts w:ascii="Helvetica" w:hAnsi="Helvetica"/>
          <w:sz w:val="24"/>
        </w:rPr>
      </w:pPr>
      <w:r w:rsidRPr="007C3DA1">
        <w:rPr>
          <w:rFonts w:ascii="Helvetica" w:hAnsi="Helvetica"/>
          <w:sz w:val="24"/>
        </w:rPr>
        <w:t xml:space="preserve"> </w:t>
      </w:r>
    </w:p>
    <w:p w14:paraId="00455668" w14:textId="77777777" w:rsidR="0017478A" w:rsidRDefault="007C3DA1" w:rsidP="007C3DA1">
      <w:pPr>
        <w:spacing w:after="0"/>
        <w:jc w:val="both"/>
        <w:rPr>
          <w:rFonts w:ascii="Helvetica" w:hAnsi="Helvetica"/>
          <w:sz w:val="24"/>
        </w:rPr>
      </w:pPr>
      <w:r w:rsidRPr="007C3DA1">
        <w:rPr>
          <w:rFonts w:ascii="Helvetica" w:hAnsi="Helvetica"/>
          <w:sz w:val="24"/>
        </w:rPr>
        <w:t>Conforme a la Convención de la OCDE para Combatir el Soborno a Funcionarios Públicos Extranjeros en Transacciones Comerciales Internacionales adoptada en 1997, los gobiernos se comprometen a penalizar el soborno transnacional. Los países signatarios representan dos tercios de las exportaciones mundiales y el 75 por ciento de la inversión extranjera. Rusia se convirtió en el 39.° país en suscribir la convención el año pasado. Tres miembros del G20, India, China e Indonesia, adoptaron medidas legislativas similares en los últimos dos años.</w:t>
      </w:r>
      <w:r w:rsidR="000C325F" w:rsidRPr="007C3DA1">
        <w:rPr>
          <w:rFonts w:ascii="Helvetica" w:hAnsi="Helvetica"/>
          <w:sz w:val="24"/>
        </w:rPr>
        <w:t xml:space="preserve"> </w:t>
      </w:r>
    </w:p>
    <w:p w14:paraId="7F10877A" w14:textId="77777777" w:rsidR="00B33492" w:rsidRDefault="00B33492" w:rsidP="007C3DA1">
      <w:pPr>
        <w:spacing w:after="0"/>
        <w:jc w:val="both"/>
        <w:rPr>
          <w:rFonts w:ascii="Helvetica" w:hAnsi="Helvetica"/>
          <w:sz w:val="24"/>
        </w:rPr>
      </w:pPr>
    </w:p>
    <w:p w14:paraId="382A6043" w14:textId="77777777" w:rsidR="00B33492" w:rsidRDefault="00B33492" w:rsidP="007C3DA1">
      <w:pPr>
        <w:spacing w:after="0"/>
        <w:jc w:val="both"/>
        <w:rPr>
          <w:rFonts w:ascii="Helvetica" w:hAnsi="Helvetica"/>
          <w:sz w:val="24"/>
        </w:rPr>
      </w:pPr>
    </w:p>
    <w:p w14:paraId="4CBBC5D4" w14:textId="77777777" w:rsidR="00B33492" w:rsidRDefault="00B33492" w:rsidP="007C3DA1">
      <w:pPr>
        <w:spacing w:after="0"/>
        <w:jc w:val="both"/>
        <w:rPr>
          <w:rFonts w:ascii="Helvetica" w:hAnsi="Helvetica"/>
          <w:sz w:val="24"/>
        </w:rPr>
      </w:pPr>
    </w:p>
    <w:p w14:paraId="5AA12789" w14:textId="77777777" w:rsidR="00B33492" w:rsidRDefault="00B33492" w:rsidP="007C3DA1">
      <w:pPr>
        <w:spacing w:after="0"/>
        <w:jc w:val="both"/>
        <w:rPr>
          <w:rFonts w:ascii="Helvetica" w:hAnsi="Helvetica"/>
          <w:sz w:val="24"/>
        </w:rPr>
      </w:pPr>
    </w:p>
    <w:p w14:paraId="7376A495" w14:textId="77777777" w:rsidR="00B33492" w:rsidRDefault="00B33492" w:rsidP="007C3DA1">
      <w:pPr>
        <w:spacing w:after="0"/>
        <w:jc w:val="both"/>
        <w:rPr>
          <w:rFonts w:ascii="Helvetica" w:hAnsi="Helvetica"/>
          <w:sz w:val="24"/>
        </w:rPr>
      </w:pPr>
    </w:p>
    <w:p w14:paraId="2994E4F6" w14:textId="77777777" w:rsidR="00B33492" w:rsidRDefault="00B33492" w:rsidP="007C3DA1">
      <w:pPr>
        <w:spacing w:after="0"/>
        <w:jc w:val="both"/>
        <w:rPr>
          <w:rFonts w:ascii="Helvetica" w:hAnsi="Helvetica"/>
          <w:sz w:val="24"/>
        </w:rPr>
      </w:pPr>
    </w:p>
    <w:p w14:paraId="50207C85" w14:textId="77777777" w:rsidR="00B33492" w:rsidRDefault="00B33492" w:rsidP="007C3DA1">
      <w:pPr>
        <w:spacing w:after="0"/>
        <w:jc w:val="both"/>
        <w:rPr>
          <w:rFonts w:ascii="Helvetica" w:hAnsi="Helvetica"/>
          <w:sz w:val="24"/>
        </w:rPr>
      </w:pPr>
    </w:p>
    <w:p w14:paraId="0955DB47" w14:textId="77777777" w:rsidR="00B33492" w:rsidRDefault="00B33492" w:rsidP="007C3DA1">
      <w:pPr>
        <w:spacing w:after="0"/>
        <w:jc w:val="both"/>
        <w:rPr>
          <w:rFonts w:ascii="Helvetica" w:hAnsi="Helvetica"/>
          <w:sz w:val="24"/>
        </w:rPr>
      </w:pPr>
    </w:p>
    <w:p w14:paraId="3DC9E7EB" w14:textId="77777777" w:rsidR="00B33492" w:rsidRDefault="00B33492" w:rsidP="007C3DA1">
      <w:pPr>
        <w:spacing w:after="0"/>
        <w:jc w:val="both"/>
        <w:rPr>
          <w:rFonts w:ascii="Helvetica" w:hAnsi="Helvetica"/>
          <w:sz w:val="24"/>
        </w:rPr>
      </w:pPr>
    </w:p>
    <w:p w14:paraId="05D2F3E6" w14:textId="77777777" w:rsidR="00B33492" w:rsidRDefault="00B33492" w:rsidP="007C3DA1">
      <w:pPr>
        <w:spacing w:after="0"/>
        <w:jc w:val="both"/>
        <w:rPr>
          <w:rFonts w:ascii="Helvetica" w:hAnsi="Helvetica"/>
          <w:sz w:val="24"/>
        </w:rPr>
      </w:pPr>
    </w:p>
    <w:p w14:paraId="08E363A6" w14:textId="77777777" w:rsidR="00B33492" w:rsidRDefault="00B33492" w:rsidP="007C3DA1">
      <w:pPr>
        <w:spacing w:after="0"/>
        <w:jc w:val="both"/>
        <w:rPr>
          <w:rFonts w:ascii="Helvetica" w:hAnsi="Helvetica"/>
          <w:sz w:val="24"/>
        </w:rPr>
      </w:pPr>
    </w:p>
    <w:p w14:paraId="16728769" w14:textId="77777777" w:rsidR="00B33492" w:rsidRDefault="00B33492" w:rsidP="007C3DA1">
      <w:pPr>
        <w:spacing w:after="0"/>
        <w:jc w:val="both"/>
        <w:rPr>
          <w:rFonts w:ascii="Helvetica" w:hAnsi="Helvetica"/>
          <w:sz w:val="24"/>
        </w:rPr>
      </w:pPr>
    </w:p>
    <w:p w14:paraId="42C19226" w14:textId="77777777" w:rsidR="00B33492" w:rsidRDefault="00B33492" w:rsidP="007C3DA1">
      <w:pPr>
        <w:spacing w:after="0"/>
        <w:jc w:val="both"/>
        <w:rPr>
          <w:rFonts w:ascii="Helvetica" w:hAnsi="Helvetica"/>
          <w:sz w:val="24"/>
        </w:rPr>
      </w:pPr>
    </w:p>
    <w:p w14:paraId="17108ED4" w14:textId="77777777" w:rsidR="00B33492" w:rsidRDefault="00B33492" w:rsidP="007C3DA1">
      <w:pPr>
        <w:spacing w:after="0"/>
        <w:jc w:val="both"/>
        <w:rPr>
          <w:rFonts w:ascii="Helvetica" w:hAnsi="Helvetica"/>
          <w:sz w:val="24"/>
        </w:rPr>
      </w:pPr>
    </w:p>
    <w:p w14:paraId="71441861" w14:textId="77777777" w:rsidR="00B33492" w:rsidRDefault="00B33492" w:rsidP="007C3DA1">
      <w:pPr>
        <w:spacing w:after="0"/>
        <w:jc w:val="both"/>
        <w:rPr>
          <w:rFonts w:ascii="Helvetica" w:hAnsi="Helvetica"/>
          <w:sz w:val="24"/>
        </w:rPr>
      </w:pPr>
    </w:p>
    <w:p w14:paraId="5C68385F" w14:textId="77777777" w:rsidR="00B33492" w:rsidRDefault="00B33492" w:rsidP="007C3DA1">
      <w:pPr>
        <w:spacing w:after="0"/>
        <w:jc w:val="both"/>
        <w:rPr>
          <w:rFonts w:ascii="Helvetica" w:hAnsi="Helvetica"/>
          <w:sz w:val="24"/>
        </w:rPr>
      </w:pPr>
    </w:p>
    <w:p w14:paraId="25478D86" w14:textId="77777777" w:rsidR="00B33492" w:rsidRDefault="00B33492" w:rsidP="007C3DA1">
      <w:pPr>
        <w:spacing w:after="0"/>
        <w:jc w:val="both"/>
        <w:rPr>
          <w:rFonts w:ascii="Helvetica" w:hAnsi="Helvetica"/>
          <w:sz w:val="24"/>
        </w:rPr>
      </w:pPr>
    </w:p>
    <w:p w14:paraId="450D0E91" w14:textId="77777777" w:rsidR="00B33492" w:rsidRDefault="00B33492" w:rsidP="007C3DA1">
      <w:pPr>
        <w:spacing w:after="0"/>
        <w:jc w:val="both"/>
        <w:rPr>
          <w:rFonts w:ascii="Helvetica" w:hAnsi="Helvetica"/>
          <w:sz w:val="24"/>
        </w:rPr>
      </w:pPr>
    </w:p>
    <w:p w14:paraId="20F4B60E" w14:textId="77777777" w:rsidR="00B33492" w:rsidRDefault="00B33492" w:rsidP="007C3DA1">
      <w:pPr>
        <w:spacing w:after="0"/>
        <w:jc w:val="both"/>
        <w:rPr>
          <w:rFonts w:ascii="Helvetica" w:hAnsi="Helvetica"/>
          <w:sz w:val="24"/>
        </w:rPr>
      </w:pPr>
    </w:p>
    <w:p w14:paraId="66F907B5" w14:textId="77777777" w:rsidR="00B33492" w:rsidRDefault="00B33492" w:rsidP="007C3DA1">
      <w:pPr>
        <w:spacing w:after="0"/>
        <w:jc w:val="both"/>
        <w:rPr>
          <w:rFonts w:ascii="Helvetica" w:hAnsi="Helvetica"/>
          <w:sz w:val="24"/>
        </w:rPr>
      </w:pPr>
    </w:p>
    <w:p w14:paraId="7AA995AC" w14:textId="77777777" w:rsidR="00B33492" w:rsidRPr="00B33492" w:rsidRDefault="00B33492" w:rsidP="007C3DA1">
      <w:pPr>
        <w:spacing w:after="0"/>
        <w:jc w:val="both"/>
        <w:rPr>
          <w:rFonts w:ascii="Helvetica" w:hAnsi="Helvetica"/>
          <w:b/>
          <w:sz w:val="24"/>
        </w:rPr>
      </w:pPr>
      <w:r w:rsidRPr="00B33492">
        <w:rPr>
          <w:rFonts w:ascii="Helvetica" w:hAnsi="Helvetica"/>
          <w:b/>
          <w:sz w:val="24"/>
        </w:rPr>
        <w:lastRenderedPageBreak/>
        <w:t>Ranking por país</w:t>
      </w:r>
    </w:p>
    <w:p w14:paraId="56DFEF67" w14:textId="77777777" w:rsidR="00B33492" w:rsidRDefault="00B33492" w:rsidP="007C3DA1">
      <w:pPr>
        <w:spacing w:after="0"/>
        <w:jc w:val="both"/>
        <w:rPr>
          <w:rFonts w:ascii="Helvetica" w:hAnsi="Helvetica"/>
          <w:sz w:val="24"/>
        </w:rPr>
      </w:pPr>
    </w:p>
    <w:p w14:paraId="67F02F70" w14:textId="77777777" w:rsidR="00B33492" w:rsidRPr="007C3DA1" w:rsidRDefault="00B33492" w:rsidP="007C3DA1">
      <w:pPr>
        <w:spacing w:after="0"/>
        <w:jc w:val="both"/>
        <w:rPr>
          <w:rFonts w:ascii="Helvetica" w:hAnsi="Helvetica"/>
          <w:sz w:val="24"/>
        </w:rPr>
      </w:pPr>
      <w:r>
        <w:rPr>
          <w:rFonts w:ascii="Helvetica" w:hAnsi="Helvetica"/>
          <w:noProof/>
          <w:sz w:val="24"/>
          <w:lang w:val="es-ES" w:eastAsia="es-ES"/>
        </w:rPr>
        <w:drawing>
          <wp:inline distT="0" distB="0" distL="0" distR="0" wp14:anchorId="0458C08C" wp14:editId="5BDF5AB4">
            <wp:extent cx="5612130" cy="689038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 OCDE.jpg"/>
                    <pic:cNvPicPr/>
                  </pic:nvPicPr>
                  <pic:blipFill>
                    <a:blip r:embed="rId8">
                      <a:extLst>
                        <a:ext uri="{28A0092B-C50C-407E-A947-70E740481C1C}">
                          <a14:useLocalDpi xmlns:a14="http://schemas.microsoft.com/office/drawing/2010/main" val="0"/>
                        </a:ext>
                      </a:extLst>
                    </a:blip>
                    <a:stretch>
                      <a:fillRect/>
                    </a:stretch>
                  </pic:blipFill>
                  <pic:spPr>
                    <a:xfrm>
                      <a:off x="0" y="0"/>
                      <a:ext cx="5612130" cy="6890385"/>
                    </a:xfrm>
                    <a:prstGeom prst="rect">
                      <a:avLst/>
                    </a:prstGeom>
                  </pic:spPr>
                </pic:pic>
              </a:graphicData>
            </a:graphic>
          </wp:inline>
        </w:drawing>
      </w:r>
    </w:p>
    <w:sectPr w:rsidR="00B33492" w:rsidRPr="007C3DA1">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7C923" w14:textId="77777777" w:rsidR="007C3DA1" w:rsidRDefault="007C3DA1" w:rsidP="000C325F">
      <w:pPr>
        <w:spacing w:after="0" w:line="240" w:lineRule="auto"/>
      </w:pPr>
      <w:r>
        <w:separator/>
      </w:r>
    </w:p>
  </w:endnote>
  <w:endnote w:type="continuationSeparator" w:id="0">
    <w:p w14:paraId="7545CA9B" w14:textId="77777777" w:rsidR="007C3DA1" w:rsidRDefault="007C3DA1" w:rsidP="000C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EEF1D" w14:textId="77777777" w:rsidR="007C3DA1" w:rsidRPr="00E6316E" w:rsidRDefault="007C3DA1" w:rsidP="000C325F">
    <w:pPr>
      <w:pStyle w:val="Piedepgina"/>
      <w:jc w:val="center"/>
      <w:rPr>
        <w:color w:val="595959" w:themeColor="text1" w:themeTint="A6"/>
      </w:rPr>
    </w:pPr>
    <w:r w:rsidRPr="00E6316E">
      <w:rPr>
        <w:color w:val="595959" w:themeColor="text1" w:themeTint="A6"/>
        <w:sz w:val="20"/>
      </w:rPr>
      <w:t>Transparencia Mexicana</w:t>
    </w:r>
    <w:r w:rsidRPr="00E6316E">
      <w:rPr>
        <w:color w:val="595959" w:themeColor="text1" w:themeTint="A6"/>
      </w:rPr>
      <w:t xml:space="preserve">, </w:t>
    </w:r>
    <w:r w:rsidRPr="00E6316E">
      <w:rPr>
        <w:color w:val="595959" w:themeColor="text1" w:themeTint="A6"/>
        <w:sz w:val="20"/>
      </w:rPr>
      <w:t>Dulce Olivia 73, Col. Villa Coyoacán, Coyoacán, Ciudad de México. C.P. 04000</w:t>
    </w:r>
  </w:p>
  <w:p w14:paraId="4C481E53" w14:textId="77777777" w:rsidR="007C3DA1" w:rsidRPr="000C325F" w:rsidRDefault="007C3DA1" w:rsidP="000C325F">
    <w:pPr>
      <w:pStyle w:val="Piedepgina"/>
      <w:jc w:val="center"/>
      <w:rPr>
        <w:lang w:val="en-US"/>
      </w:rPr>
    </w:pPr>
    <w:proofErr w:type="spellStart"/>
    <w:r w:rsidRPr="000C325F">
      <w:rPr>
        <w:color w:val="595959" w:themeColor="text1" w:themeTint="A6"/>
        <w:sz w:val="20"/>
        <w:lang w:val="en-US"/>
      </w:rPr>
      <w:t>Tels</w:t>
    </w:r>
    <w:proofErr w:type="spellEnd"/>
    <w:r w:rsidRPr="000C325F">
      <w:rPr>
        <w:color w:val="595959" w:themeColor="text1" w:themeTint="A6"/>
        <w:sz w:val="20"/>
        <w:lang w:val="en-US"/>
      </w:rPr>
      <w:t xml:space="preserve">. :(+52 55) 5659 4714 – 5659 4095 – 5659 9991 – 5659 9996. </w:t>
    </w:r>
    <w:proofErr w:type="spellStart"/>
    <w:r w:rsidRPr="007573E6">
      <w:rPr>
        <w:color w:val="595959" w:themeColor="text1" w:themeTint="A6"/>
        <w:sz w:val="20"/>
        <w:lang w:val="en-US"/>
      </w:rPr>
      <w:t>Sitio</w:t>
    </w:r>
    <w:proofErr w:type="spellEnd"/>
    <w:r w:rsidRPr="007573E6">
      <w:rPr>
        <w:color w:val="595959" w:themeColor="text1" w:themeTint="A6"/>
        <w:sz w:val="20"/>
        <w:lang w:val="en-US"/>
      </w:rPr>
      <w:t xml:space="preserve"> web: </w:t>
    </w:r>
    <w:hyperlink r:id="rId1" w:history="1">
      <w:r w:rsidRPr="000C325F">
        <w:rPr>
          <w:rStyle w:val="Hipervnculo"/>
          <w:color w:val="595959" w:themeColor="text1" w:themeTint="A6"/>
          <w:sz w:val="20"/>
          <w:u w:val="none"/>
          <w:lang w:val="en-US"/>
        </w:rPr>
        <w:t>www.tm.org.mx</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78CCD" w14:textId="77777777" w:rsidR="007C3DA1" w:rsidRDefault="007C3DA1" w:rsidP="000C325F">
      <w:pPr>
        <w:spacing w:after="0" w:line="240" w:lineRule="auto"/>
      </w:pPr>
      <w:r>
        <w:separator/>
      </w:r>
    </w:p>
  </w:footnote>
  <w:footnote w:type="continuationSeparator" w:id="0">
    <w:p w14:paraId="48857E28" w14:textId="77777777" w:rsidR="007C3DA1" w:rsidRDefault="007C3DA1" w:rsidP="000C325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90030" w14:textId="77777777" w:rsidR="007C3DA1" w:rsidRDefault="007C3DA1" w:rsidP="000C325F">
    <w:r>
      <w:rPr>
        <w:noProof/>
        <w:lang w:val="es-ES" w:eastAsia="es-ES"/>
      </w:rPr>
      <w:drawing>
        <wp:anchor distT="0" distB="0" distL="114300" distR="114300" simplePos="0" relativeHeight="251660288" behindDoc="1" locked="0" layoutInCell="1" allowOverlap="1" wp14:anchorId="502CA9FF" wp14:editId="5C8277F2">
          <wp:simplePos x="0" y="0"/>
          <wp:positionH relativeFrom="margin">
            <wp:align>left</wp:align>
          </wp:positionH>
          <wp:positionV relativeFrom="paragraph">
            <wp:posOffset>118745</wp:posOffset>
          </wp:positionV>
          <wp:extent cx="2390775" cy="631825"/>
          <wp:effectExtent l="0" t="0" r="9525" b="0"/>
          <wp:wrapTight wrapText="bothSides">
            <wp:wrapPolygon edited="0">
              <wp:start x="0" y="0"/>
              <wp:lineTo x="0" y="20840"/>
              <wp:lineTo x="21514" y="20840"/>
              <wp:lineTo x="21514"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cia Internacio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0775" cy="631825"/>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9264" behindDoc="1" locked="0" layoutInCell="1" allowOverlap="1" wp14:anchorId="144076BA" wp14:editId="0817820F">
          <wp:simplePos x="0" y="0"/>
          <wp:positionH relativeFrom="margin">
            <wp:align>right</wp:align>
          </wp:positionH>
          <wp:positionV relativeFrom="paragraph">
            <wp:posOffset>-40640</wp:posOffset>
          </wp:positionV>
          <wp:extent cx="2257425" cy="861060"/>
          <wp:effectExtent l="0" t="0" r="9525" b="0"/>
          <wp:wrapTight wrapText="bothSides">
            <wp:wrapPolygon edited="0">
              <wp:start x="0" y="0"/>
              <wp:lineTo x="0" y="21027"/>
              <wp:lineTo x="21509" y="21027"/>
              <wp:lineTo x="21509"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M - Verde azu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57425" cy="861060"/>
                  </a:xfrm>
                  <a:prstGeom prst="rect">
                    <a:avLst/>
                  </a:prstGeom>
                </pic:spPr>
              </pic:pic>
            </a:graphicData>
          </a:graphic>
          <wp14:sizeRelH relativeFrom="page">
            <wp14:pctWidth>0</wp14:pctWidth>
          </wp14:sizeRelH>
          <wp14:sizeRelV relativeFrom="page">
            <wp14:pctHeight>0</wp14:pctHeight>
          </wp14:sizeRelV>
        </wp:anchor>
      </w:drawing>
    </w:r>
  </w:p>
  <w:p w14:paraId="7F88F65E" w14:textId="77777777" w:rsidR="007C3DA1" w:rsidRDefault="007C3DA1" w:rsidP="000C325F"/>
  <w:p w14:paraId="4460788C" w14:textId="77777777" w:rsidR="007C3DA1" w:rsidRDefault="007C3DA1" w:rsidP="000C325F">
    <w:pPr>
      <w:pStyle w:val="Piedepgina"/>
      <w:jc w:val="center"/>
      <w:rPr>
        <w:color w:val="595959" w:themeColor="text1" w:themeTint="A6"/>
        <w:sz w:val="20"/>
      </w:rPr>
    </w:pPr>
  </w:p>
  <w:p w14:paraId="43FD6B33" w14:textId="77777777" w:rsidR="007C3DA1" w:rsidRPr="007573E6" w:rsidRDefault="007C3DA1" w:rsidP="000C325F">
    <w:pPr>
      <w:pStyle w:val="Piedepgina"/>
      <w:jc w:val="center"/>
      <w:rPr>
        <w:color w:val="595959" w:themeColor="text1" w:themeTint="A6"/>
        <w:sz w:val="20"/>
        <w:lang w:val="en-US"/>
      </w:rPr>
    </w:pPr>
    <w:r>
      <w:rPr>
        <w:rStyle w:val="Hipervnculo"/>
        <w:color w:val="595959" w:themeColor="text1" w:themeTint="A6"/>
        <w:sz w:val="20"/>
        <w:lang w:val="en-US"/>
      </w:rPr>
      <w:t xml:space="preserve"> </w:t>
    </w:r>
  </w:p>
  <w:p w14:paraId="6C066349" w14:textId="77777777" w:rsidR="007C3DA1" w:rsidRDefault="007C3DA1">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A05F8"/>
    <w:multiLevelType w:val="hybridMultilevel"/>
    <w:tmpl w:val="41D05C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5F"/>
    <w:rsid w:val="000C325F"/>
    <w:rsid w:val="0017478A"/>
    <w:rsid w:val="001F12DC"/>
    <w:rsid w:val="001F7D57"/>
    <w:rsid w:val="00374687"/>
    <w:rsid w:val="00581052"/>
    <w:rsid w:val="007870CE"/>
    <w:rsid w:val="007C3DA1"/>
    <w:rsid w:val="00B3349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16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C325F"/>
    <w:rPr>
      <w:color w:val="0000FF" w:themeColor="hyperlink"/>
      <w:u w:val="single"/>
    </w:rPr>
  </w:style>
  <w:style w:type="paragraph" w:styleId="Encabezado">
    <w:name w:val="header"/>
    <w:basedOn w:val="Normal"/>
    <w:link w:val="EncabezadoCar"/>
    <w:uiPriority w:val="99"/>
    <w:unhideWhenUsed/>
    <w:rsid w:val="000C32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325F"/>
  </w:style>
  <w:style w:type="paragraph" w:styleId="Piedepgina">
    <w:name w:val="footer"/>
    <w:basedOn w:val="Normal"/>
    <w:link w:val="PiedepginaCar"/>
    <w:uiPriority w:val="99"/>
    <w:unhideWhenUsed/>
    <w:rsid w:val="000C32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325F"/>
  </w:style>
  <w:style w:type="paragraph" w:styleId="Prrafodelista">
    <w:name w:val="List Paragraph"/>
    <w:basedOn w:val="Normal"/>
    <w:uiPriority w:val="34"/>
    <w:qFormat/>
    <w:rsid w:val="00B33492"/>
    <w:pPr>
      <w:ind w:left="720"/>
      <w:contextualSpacing/>
    </w:pPr>
  </w:style>
  <w:style w:type="paragraph" w:styleId="Textodeglobo">
    <w:name w:val="Balloon Text"/>
    <w:basedOn w:val="Normal"/>
    <w:link w:val="TextodegloboCar"/>
    <w:uiPriority w:val="99"/>
    <w:semiHidden/>
    <w:unhideWhenUsed/>
    <w:rsid w:val="00581052"/>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105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C325F"/>
    <w:rPr>
      <w:color w:val="0000FF" w:themeColor="hyperlink"/>
      <w:u w:val="single"/>
    </w:rPr>
  </w:style>
  <w:style w:type="paragraph" w:styleId="Encabezado">
    <w:name w:val="header"/>
    <w:basedOn w:val="Normal"/>
    <w:link w:val="EncabezadoCar"/>
    <w:uiPriority w:val="99"/>
    <w:unhideWhenUsed/>
    <w:rsid w:val="000C32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325F"/>
  </w:style>
  <w:style w:type="paragraph" w:styleId="Piedepgina">
    <w:name w:val="footer"/>
    <w:basedOn w:val="Normal"/>
    <w:link w:val="PiedepginaCar"/>
    <w:uiPriority w:val="99"/>
    <w:unhideWhenUsed/>
    <w:rsid w:val="000C32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325F"/>
  </w:style>
  <w:style w:type="paragraph" w:styleId="Prrafodelista">
    <w:name w:val="List Paragraph"/>
    <w:basedOn w:val="Normal"/>
    <w:uiPriority w:val="34"/>
    <w:qFormat/>
    <w:rsid w:val="00B33492"/>
    <w:pPr>
      <w:ind w:left="720"/>
      <w:contextualSpacing/>
    </w:pPr>
  </w:style>
  <w:style w:type="paragraph" w:styleId="Textodeglobo">
    <w:name w:val="Balloon Text"/>
    <w:basedOn w:val="Normal"/>
    <w:link w:val="TextodegloboCar"/>
    <w:uiPriority w:val="99"/>
    <w:semiHidden/>
    <w:unhideWhenUsed/>
    <w:rsid w:val="00581052"/>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10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0048">
      <w:bodyDiv w:val="1"/>
      <w:marLeft w:val="0"/>
      <w:marRight w:val="0"/>
      <w:marTop w:val="0"/>
      <w:marBottom w:val="0"/>
      <w:divBdr>
        <w:top w:val="none" w:sz="0" w:space="0" w:color="auto"/>
        <w:left w:val="none" w:sz="0" w:space="0" w:color="auto"/>
        <w:bottom w:val="none" w:sz="0" w:space="0" w:color="auto"/>
        <w:right w:val="none" w:sz="0" w:space="0" w:color="auto"/>
      </w:divBdr>
      <w:divsChild>
        <w:div w:id="879391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m.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689</Words>
  <Characters>3793</Characters>
  <Application>Microsoft Macintosh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Ceja</dc:creator>
  <cp:lastModifiedBy>Rafael García Aceves</cp:lastModifiedBy>
  <cp:revision>4</cp:revision>
  <dcterms:created xsi:type="dcterms:W3CDTF">2012-09-26T17:57:00Z</dcterms:created>
  <dcterms:modified xsi:type="dcterms:W3CDTF">2013-05-05T17:18:00Z</dcterms:modified>
</cp:coreProperties>
</file>